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0D2" w:rsidRPr="000F33B5" w:rsidRDefault="003C50D2" w:rsidP="000F33B5">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3C50D2" w:rsidRPr="000F33B5" w:rsidRDefault="003C50D2" w:rsidP="000F33B5">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 xml:space="preserve">RECURSO DE REVISIÓN  </w:t>
      </w:r>
      <w:r w:rsidR="007A14E0" w:rsidRPr="000F33B5">
        <w:rPr>
          <w:rFonts w:ascii="Arial" w:eastAsia="Times New Roman" w:hAnsi="Arial" w:cs="Arial"/>
          <w:b/>
          <w:caps/>
          <w:color w:val="2E74B5" w:themeColor="accent1" w:themeShade="BF"/>
          <w:sz w:val="24"/>
          <w:szCs w:val="24"/>
          <w:lang w:eastAsia="es-MX"/>
        </w:rPr>
        <w:t>518</w:t>
      </w:r>
      <w:r w:rsidRPr="000F33B5">
        <w:rPr>
          <w:rFonts w:ascii="Arial" w:eastAsia="Times New Roman" w:hAnsi="Arial" w:cs="Arial"/>
          <w:b/>
          <w:caps/>
          <w:color w:val="2E74B5" w:themeColor="accent1" w:themeShade="BF"/>
          <w:sz w:val="24"/>
          <w:szCs w:val="24"/>
          <w:lang w:eastAsia="es-MX"/>
        </w:rPr>
        <w:t>/2018</w:t>
      </w:r>
      <w:r w:rsidR="00E07BCC" w:rsidRPr="000F33B5">
        <w:rPr>
          <w:rFonts w:ascii="Arial" w:eastAsia="Times New Roman" w:hAnsi="Arial" w:cs="Arial"/>
          <w:b/>
          <w:caps/>
          <w:color w:val="2E74B5" w:themeColor="accent1" w:themeShade="BF"/>
          <w:sz w:val="24"/>
          <w:szCs w:val="24"/>
          <w:lang w:eastAsia="es-MX"/>
        </w:rPr>
        <w:t>-2</w:t>
      </w:r>
    </w:p>
    <w:p w:rsidR="003C50D2" w:rsidRPr="000F33B5" w:rsidRDefault="009B6395" w:rsidP="000F33B5">
      <w:pPr>
        <w:tabs>
          <w:tab w:val="left" w:pos="6577"/>
        </w:tabs>
        <w:spacing w:after="0" w:line="276" w:lineRule="auto"/>
        <w:ind w:left="2552"/>
        <w:jc w:val="both"/>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ab/>
      </w:r>
    </w:p>
    <w:p w:rsidR="003C50D2" w:rsidRPr="000F33B5" w:rsidRDefault="003C50D2" w:rsidP="000F33B5">
      <w:pPr>
        <w:spacing w:after="0" w:line="276" w:lineRule="auto"/>
        <w:ind w:left="2552"/>
        <w:jc w:val="both"/>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 xml:space="preserve">COMISIONADO PONENTE: </w:t>
      </w: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pAULINA SÁNCHEZ PÉREZ DEL POZO</w:t>
      </w: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MATERIA:</w:t>
      </w: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ACCESO A LA INFORMACIÓN PÚBLICA</w:t>
      </w: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r w:rsidRPr="000F33B5">
        <w:rPr>
          <w:rFonts w:ascii="Arial" w:eastAsia="Times New Roman" w:hAnsi="Arial" w:cs="Arial"/>
          <w:b/>
          <w:caps/>
          <w:color w:val="2E74B5" w:themeColor="accent1" w:themeShade="BF"/>
          <w:sz w:val="24"/>
          <w:szCs w:val="24"/>
          <w:lang w:eastAsia="es-MX"/>
        </w:rPr>
        <w:t>SUJETO OBLIGADO:</w:t>
      </w:r>
    </w:p>
    <w:p w:rsidR="003C50D2" w:rsidRPr="000F33B5" w:rsidRDefault="00FE15E9" w:rsidP="000F33B5">
      <w:pPr>
        <w:pStyle w:val="corte2ponente"/>
        <w:spacing w:line="276" w:lineRule="auto"/>
        <w:jc w:val="both"/>
        <w:rPr>
          <w:rFonts w:cs="Arial"/>
          <w:color w:val="2E74B5" w:themeColor="accent1" w:themeShade="BF"/>
          <w:sz w:val="24"/>
          <w:szCs w:val="24"/>
        </w:rPr>
      </w:pPr>
      <w:r w:rsidRPr="000F33B5">
        <w:rPr>
          <w:rFonts w:eastAsia="Arial Unicode MS" w:cs="Arial"/>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w:t>
      </w:r>
      <w:r w:rsidR="003C50D2" w:rsidRPr="000F33B5">
        <w:rPr>
          <w:rFonts w:cs="Arial"/>
          <w:color w:val="2E74B5" w:themeColor="accent1" w:themeShade="BF"/>
          <w:sz w:val="24"/>
          <w:szCs w:val="24"/>
          <w:lang w:val="es-MX"/>
        </w:rPr>
        <w:t>.</w:t>
      </w:r>
    </w:p>
    <w:p w:rsidR="003C50D2" w:rsidRPr="000F33B5" w:rsidRDefault="003C50D2" w:rsidP="000F33B5">
      <w:pPr>
        <w:pStyle w:val="corte2ponente"/>
        <w:spacing w:line="276" w:lineRule="auto"/>
        <w:rPr>
          <w:rFonts w:cs="Arial"/>
          <w:color w:val="2E74B5" w:themeColor="accent1" w:themeShade="BF"/>
          <w:sz w:val="24"/>
          <w:szCs w:val="24"/>
        </w:rPr>
      </w:pPr>
    </w:p>
    <w:p w:rsidR="003C50D2" w:rsidRPr="000F33B5" w:rsidRDefault="003C50D2" w:rsidP="000F33B5">
      <w:pPr>
        <w:spacing w:after="0" w:line="276" w:lineRule="auto"/>
        <w:jc w:val="right"/>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rPr>
          <w:rFonts w:ascii="Arial" w:eastAsia="Times New Roman" w:hAnsi="Arial" w:cs="Arial"/>
          <w:b/>
          <w:caps/>
          <w:color w:val="2E74B5" w:themeColor="accent1" w:themeShade="BF"/>
          <w:sz w:val="24"/>
          <w:szCs w:val="24"/>
          <w:lang w:eastAsia="es-MX"/>
        </w:rPr>
      </w:pPr>
    </w:p>
    <w:p w:rsidR="003C50D2" w:rsidRPr="000F33B5" w:rsidRDefault="003C50D2" w:rsidP="000F33B5">
      <w:pPr>
        <w:spacing w:after="0" w:line="276" w:lineRule="auto"/>
        <w:jc w:val="both"/>
        <w:rPr>
          <w:rFonts w:ascii="Arial" w:eastAsia="Times New Roman" w:hAnsi="Arial" w:cs="Arial"/>
          <w:b/>
          <w:color w:val="2E74B5" w:themeColor="accent1" w:themeShade="BF"/>
          <w:sz w:val="24"/>
          <w:szCs w:val="24"/>
          <w:vertAlign w:val="subscript"/>
          <w:lang w:eastAsia="es-MX"/>
        </w:rPr>
      </w:pPr>
      <w:r w:rsidRPr="000F33B5">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7F658D" w:rsidRPr="000F33B5">
        <w:rPr>
          <w:rFonts w:ascii="Arial" w:eastAsia="Times New Roman" w:hAnsi="Arial" w:cs="Arial"/>
          <w:color w:val="2E74B5" w:themeColor="accent1" w:themeShade="BF"/>
          <w:sz w:val="24"/>
          <w:szCs w:val="24"/>
          <w:lang w:eastAsia="es-MX"/>
        </w:rPr>
        <w:t xml:space="preserve"> </w:t>
      </w:r>
      <w:r w:rsidR="00FE15E9" w:rsidRPr="000F33B5">
        <w:rPr>
          <w:rFonts w:ascii="Arial" w:eastAsia="Times New Roman" w:hAnsi="Arial" w:cs="Arial"/>
          <w:color w:val="2E74B5" w:themeColor="accent1" w:themeShade="BF"/>
          <w:sz w:val="24"/>
          <w:szCs w:val="24"/>
          <w:lang w:eastAsia="es-MX"/>
        </w:rPr>
        <w:t xml:space="preserve">12 doce de septiembre </w:t>
      </w:r>
      <w:r w:rsidRPr="000F33B5">
        <w:rPr>
          <w:rFonts w:ascii="Arial" w:eastAsia="Times New Roman" w:hAnsi="Arial" w:cs="Arial"/>
          <w:color w:val="2E74B5" w:themeColor="accent1" w:themeShade="BF"/>
          <w:sz w:val="24"/>
          <w:szCs w:val="24"/>
          <w:lang w:eastAsia="es-MX"/>
        </w:rPr>
        <w:t>de 2018 dos mil dieciocho.</w:t>
      </w:r>
      <w:r w:rsidRPr="000F33B5">
        <w:rPr>
          <w:rFonts w:ascii="Arial" w:eastAsia="Times New Roman" w:hAnsi="Arial" w:cs="Arial"/>
          <w:b/>
          <w:color w:val="2E74B5" w:themeColor="accent1" w:themeShade="BF"/>
          <w:sz w:val="24"/>
          <w:szCs w:val="24"/>
          <w:vertAlign w:val="subscript"/>
          <w:lang w:eastAsia="es-MX"/>
        </w:rPr>
        <w:t xml:space="preserve"> </w:t>
      </w:r>
    </w:p>
    <w:p w:rsidR="003C50D2" w:rsidRPr="000F33B5" w:rsidRDefault="003C50D2" w:rsidP="000F33B5">
      <w:pPr>
        <w:spacing w:after="0" w:line="276" w:lineRule="auto"/>
        <w:jc w:val="both"/>
        <w:rPr>
          <w:rFonts w:ascii="Arial" w:eastAsia="Times New Roman" w:hAnsi="Arial" w:cs="Arial"/>
          <w:b/>
          <w:color w:val="2E74B5" w:themeColor="accent1" w:themeShade="BF"/>
          <w:sz w:val="24"/>
          <w:szCs w:val="24"/>
          <w:lang w:eastAsia="es-MX"/>
        </w:rPr>
      </w:pP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VISTOS</w:t>
      </w:r>
      <w:r w:rsidRPr="000F33B5">
        <w:rPr>
          <w:rFonts w:ascii="Arial" w:eastAsia="Times New Roman" w:hAnsi="Arial" w:cs="Arial"/>
          <w:color w:val="2E74B5" w:themeColor="accent1" w:themeShade="BF"/>
          <w:sz w:val="24"/>
          <w:szCs w:val="24"/>
          <w:lang w:eastAsia="es-MX"/>
        </w:rPr>
        <w:t>, para resolver, los autos del recurso de revisión identificado al rubro; y</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3C50D2" w:rsidP="000F33B5">
      <w:pPr>
        <w:spacing w:after="0" w:line="276" w:lineRule="auto"/>
        <w:ind w:firstLine="709"/>
        <w:jc w:val="center"/>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RESULTANDO</w:t>
      </w:r>
      <w:r w:rsidRPr="000F33B5">
        <w:rPr>
          <w:rFonts w:ascii="Arial" w:eastAsia="Times New Roman" w:hAnsi="Arial" w:cs="Arial"/>
          <w:color w:val="2E74B5" w:themeColor="accent1" w:themeShade="BF"/>
          <w:sz w:val="24"/>
          <w:szCs w:val="24"/>
          <w:lang w:eastAsia="es-MX"/>
        </w:rPr>
        <w:t>:</w:t>
      </w:r>
    </w:p>
    <w:p w:rsidR="003C50D2" w:rsidRPr="000F33B5" w:rsidRDefault="003C50D2" w:rsidP="000F33B5">
      <w:pPr>
        <w:spacing w:after="0" w:line="276" w:lineRule="auto"/>
        <w:ind w:firstLine="709"/>
        <w:jc w:val="center"/>
        <w:rPr>
          <w:rFonts w:ascii="Arial" w:eastAsia="Times New Roman" w:hAnsi="Arial" w:cs="Arial"/>
          <w:color w:val="2E74B5" w:themeColor="accent1" w:themeShade="BF"/>
          <w:sz w:val="24"/>
          <w:szCs w:val="24"/>
          <w:lang w:eastAsia="es-MX"/>
        </w:rPr>
      </w:pP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 xml:space="preserve">PRIMERO. Solicitud de acceso a la información pública. </w:t>
      </w:r>
      <w:r w:rsidRPr="000F33B5">
        <w:rPr>
          <w:rFonts w:ascii="Arial" w:eastAsia="Times New Roman" w:hAnsi="Arial" w:cs="Arial"/>
          <w:color w:val="2E74B5" w:themeColor="accent1" w:themeShade="BF"/>
          <w:sz w:val="24"/>
          <w:szCs w:val="24"/>
          <w:lang w:eastAsia="es-MX"/>
        </w:rPr>
        <w:t xml:space="preserve">Según consta en la Plataforma Nacional de Transparencia en el folio </w:t>
      </w:r>
      <w:r w:rsidRPr="000F33B5">
        <w:rPr>
          <w:rFonts w:ascii="Arial" w:eastAsia="Times New Roman" w:hAnsi="Arial" w:cs="Arial"/>
          <w:b/>
          <w:color w:val="2E74B5" w:themeColor="accent1" w:themeShade="BF"/>
          <w:sz w:val="24"/>
          <w:szCs w:val="24"/>
          <w:lang w:eastAsia="es-MX"/>
        </w:rPr>
        <w:t>00</w:t>
      </w:r>
      <w:r w:rsidR="00FE15E9" w:rsidRPr="000F33B5">
        <w:rPr>
          <w:rFonts w:ascii="Arial" w:eastAsia="Times New Roman" w:hAnsi="Arial" w:cs="Arial"/>
          <w:b/>
          <w:color w:val="2E74B5" w:themeColor="accent1" w:themeShade="BF"/>
          <w:sz w:val="24"/>
          <w:szCs w:val="24"/>
          <w:lang w:eastAsia="es-MX"/>
        </w:rPr>
        <w:t>396318</w:t>
      </w:r>
      <w:r w:rsidRPr="000F33B5">
        <w:rPr>
          <w:rFonts w:ascii="Arial" w:eastAsia="Times New Roman" w:hAnsi="Arial" w:cs="Arial"/>
          <w:b/>
          <w:color w:val="2E74B5" w:themeColor="accent1" w:themeShade="BF"/>
          <w:sz w:val="24"/>
          <w:szCs w:val="24"/>
          <w:lang w:eastAsia="es-MX"/>
        </w:rPr>
        <w:t xml:space="preserve"> </w:t>
      </w:r>
      <w:r w:rsidR="007F658D" w:rsidRPr="000F33B5">
        <w:rPr>
          <w:rFonts w:ascii="Arial" w:eastAsia="Times New Roman" w:hAnsi="Arial" w:cs="Arial"/>
          <w:color w:val="2E74B5" w:themeColor="accent1" w:themeShade="BF"/>
          <w:sz w:val="24"/>
          <w:szCs w:val="24"/>
          <w:lang w:eastAsia="es-MX"/>
        </w:rPr>
        <w:t>cero, cero,</w:t>
      </w:r>
      <w:r w:rsidR="00FE15E9" w:rsidRPr="000F33B5">
        <w:rPr>
          <w:rFonts w:ascii="Arial" w:eastAsia="Times New Roman" w:hAnsi="Arial" w:cs="Arial"/>
          <w:color w:val="2E74B5" w:themeColor="accent1" w:themeShade="BF"/>
          <w:sz w:val="24"/>
          <w:szCs w:val="24"/>
          <w:lang w:eastAsia="es-MX"/>
        </w:rPr>
        <w:t xml:space="preserve"> trescientos noventa y seis mil trescientos </w:t>
      </w:r>
      <w:r w:rsidRPr="000F33B5">
        <w:rPr>
          <w:rFonts w:ascii="Arial" w:eastAsia="Times New Roman" w:hAnsi="Arial" w:cs="Arial"/>
          <w:color w:val="2E74B5" w:themeColor="accent1" w:themeShade="BF"/>
          <w:sz w:val="24"/>
          <w:szCs w:val="24"/>
          <w:lang w:eastAsia="es-MX"/>
        </w:rPr>
        <w:t xml:space="preserve">dieciocho, el </w:t>
      </w:r>
      <w:r w:rsidR="00FE15E9" w:rsidRPr="000F33B5">
        <w:rPr>
          <w:rFonts w:ascii="Arial" w:eastAsia="Times New Roman" w:hAnsi="Arial" w:cs="Arial"/>
          <w:color w:val="2E74B5" w:themeColor="accent1" w:themeShade="BF"/>
          <w:sz w:val="24"/>
          <w:szCs w:val="24"/>
          <w:lang w:eastAsia="es-MX"/>
        </w:rPr>
        <w:t xml:space="preserve">29 veintinueve de mayo </w:t>
      </w:r>
      <w:r w:rsidRPr="000F33B5">
        <w:rPr>
          <w:rFonts w:ascii="Arial" w:eastAsia="Times New Roman" w:hAnsi="Arial" w:cs="Arial"/>
          <w:color w:val="2E74B5" w:themeColor="accent1" w:themeShade="BF"/>
          <w:sz w:val="24"/>
          <w:szCs w:val="24"/>
          <w:lang w:eastAsia="es-MX"/>
        </w:rPr>
        <w:t xml:space="preserve">de 2018 dos mil dieciocho </w:t>
      </w:r>
      <w:r w:rsidRPr="000F33B5">
        <w:rPr>
          <w:rFonts w:ascii="Arial" w:eastAsia="Times New Roman" w:hAnsi="Arial" w:cs="Arial"/>
          <w:b/>
          <w:color w:val="2E74B5" w:themeColor="accent1" w:themeShade="BF"/>
          <w:sz w:val="24"/>
          <w:szCs w:val="24"/>
          <w:lang w:eastAsia="es-MX"/>
        </w:rPr>
        <w:t>el</w:t>
      </w:r>
      <w:r w:rsidR="00FE15E9" w:rsidRPr="000F33B5">
        <w:rPr>
          <w:rFonts w:ascii="Arial" w:eastAsia="Times New Roman" w:hAnsi="Arial" w:cs="Arial"/>
          <w:b/>
          <w:color w:val="2E74B5" w:themeColor="accent1" w:themeShade="BF"/>
          <w:sz w:val="24"/>
          <w:szCs w:val="24"/>
          <w:lang w:eastAsia="es-MX"/>
        </w:rPr>
        <w:t xml:space="preserve"> </w:t>
      </w:r>
      <w:r w:rsidR="00FE15E9" w:rsidRPr="000F33B5">
        <w:rPr>
          <w:rFonts w:ascii="Arial" w:eastAsia="Arial Unicode MS" w:hAnsi="Arial" w:cs="Arial"/>
          <w:b/>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w:t>
      </w:r>
      <w:r w:rsidRPr="000F33B5">
        <w:rPr>
          <w:rFonts w:ascii="Arial" w:eastAsia="Times New Roman" w:hAnsi="Arial" w:cs="Arial"/>
          <w:b/>
          <w:color w:val="2E74B5" w:themeColor="accent1" w:themeShade="BF"/>
          <w:sz w:val="24"/>
          <w:szCs w:val="24"/>
          <w:lang w:eastAsia="es-MX"/>
        </w:rPr>
        <w:t xml:space="preserve"> </w:t>
      </w:r>
      <w:r w:rsidRPr="000F33B5">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0F33B5">
        <w:rPr>
          <w:rFonts w:ascii="Arial" w:eastAsia="Times New Roman" w:hAnsi="Arial" w:cs="Arial"/>
          <w:color w:val="2E74B5" w:themeColor="accent1" w:themeShade="BF"/>
          <w:sz w:val="24"/>
          <w:szCs w:val="24"/>
          <w:vertAlign w:val="superscript"/>
          <w:lang w:eastAsia="es-MX"/>
        </w:rPr>
        <w:footnoteReference w:id="1"/>
      </w:r>
      <w:r w:rsidRPr="000F33B5">
        <w:rPr>
          <w:rFonts w:ascii="Arial" w:eastAsia="Times New Roman" w:hAnsi="Arial" w:cs="Arial"/>
          <w:color w:val="2E74B5" w:themeColor="accent1" w:themeShade="BF"/>
          <w:sz w:val="24"/>
          <w:szCs w:val="24"/>
          <w:lang w:eastAsia="es-MX"/>
        </w:rPr>
        <w:t>:</w:t>
      </w:r>
    </w:p>
    <w:p w:rsidR="003C50D2" w:rsidRPr="000F33B5" w:rsidRDefault="00083107" w:rsidP="000F33B5">
      <w:p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noProof/>
          <w:color w:val="2E74B5" w:themeColor="accent1" w:themeShade="BF"/>
          <w:sz w:val="24"/>
          <w:szCs w:val="24"/>
          <w:lang w:eastAsia="es-MX"/>
        </w:rPr>
        <w:drawing>
          <wp:inline distT="0" distB="0" distL="0" distR="0" wp14:anchorId="73E36280" wp14:editId="7546B19F">
            <wp:extent cx="5606192" cy="1748333"/>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0951" cy="1762291"/>
                    </a:xfrm>
                    <a:prstGeom prst="rect">
                      <a:avLst/>
                    </a:prstGeom>
                    <a:noFill/>
                    <a:ln>
                      <a:noFill/>
                    </a:ln>
                  </pic:spPr>
                </pic:pic>
              </a:graphicData>
            </a:graphic>
          </wp:inline>
        </w:drawing>
      </w:r>
    </w:p>
    <w:p w:rsidR="003C50D2" w:rsidRPr="000F33B5" w:rsidRDefault="003C50D2" w:rsidP="000F33B5">
      <w:pPr>
        <w:spacing w:after="0" w:line="276" w:lineRule="auto"/>
        <w:jc w:val="center"/>
        <w:rPr>
          <w:rFonts w:ascii="Arial" w:eastAsia="Times New Roman" w:hAnsi="Arial" w:cs="Arial"/>
          <w:color w:val="2E74B5" w:themeColor="accent1" w:themeShade="BF"/>
          <w:sz w:val="24"/>
          <w:szCs w:val="24"/>
          <w:lang w:eastAsia="es-MX"/>
        </w:rPr>
      </w:pPr>
    </w:p>
    <w:p w:rsidR="003C50D2" w:rsidRPr="000F33B5" w:rsidRDefault="003C50D2" w:rsidP="000F33B5">
      <w:pPr>
        <w:spacing w:after="0" w:line="276" w:lineRule="auto"/>
        <w:jc w:val="center"/>
        <w:rPr>
          <w:rFonts w:ascii="Arial" w:eastAsia="Times New Roman" w:hAnsi="Arial" w:cs="Arial"/>
          <w:color w:val="2E74B5" w:themeColor="accent1" w:themeShade="BF"/>
          <w:sz w:val="24"/>
          <w:szCs w:val="24"/>
          <w:lang w:eastAsia="es-MX"/>
        </w:rPr>
      </w:pPr>
    </w:p>
    <w:p w:rsidR="00083107" w:rsidRPr="000F33B5" w:rsidRDefault="003C50D2" w:rsidP="000F33B5">
      <w:pPr>
        <w:spacing w:after="0" w:line="276" w:lineRule="auto"/>
        <w:ind w:left="708"/>
        <w:jc w:val="both"/>
        <w:rPr>
          <w:rFonts w:ascii="Arial" w:eastAsia="Times New Roman" w:hAnsi="Arial" w:cs="Arial"/>
          <w:i/>
          <w:color w:val="2E74B5" w:themeColor="accent1" w:themeShade="BF"/>
          <w:sz w:val="20"/>
          <w:szCs w:val="20"/>
          <w:lang w:eastAsia="es-MX"/>
        </w:rPr>
      </w:pPr>
      <w:r w:rsidRPr="000F33B5">
        <w:rPr>
          <w:rFonts w:ascii="Arial" w:eastAsia="Times New Roman" w:hAnsi="Arial" w:cs="Arial"/>
          <w:i/>
          <w:color w:val="2E74B5" w:themeColor="accent1" w:themeShade="BF"/>
          <w:sz w:val="20"/>
          <w:szCs w:val="20"/>
          <w:lang w:eastAsia="es-MX"/>
        </w:rPr>
        <w:t>“…</w:t>
      </w:r>
      <w:r w:rsidR="00083107" w:rsidRPr="000F33B5">
        <w:rPr>
          <w:rFonts w:ascii="Arial" w:eastAsia="Times New Roman" w:hAnsi="Arial" w:cs="Arial"/>
          <w:i/>
          <w:color w:val="2E74B5" w:themeColor="accent1" w:themeShade="BF"/>
          <w:sz w:val="20"/>
          <w:szCs w:val="20"/>
          <w:lang w:eastAsia="es-MX"/>
        </w:rPr>
        <w:t>1.- Sistema de RED hidráulica que abastece al fraccionamiento Villas Mallorca en la Delegación de Pozos, San Luis Potosí, San Luis Potosí, señalando ubicación de pozos o pozo correspondientes.</w:t>
      </w:r>
    </w:p>
    <w:p w:rsidR="00083107" w:rsidRPr="000F33B5" w:rsidRDefault="00083107" w:rsidP="000F33B5">
      <w:pPr>
        <w:spacing w:after="0" w:line="276" w:lineRule="auto"/>
        <w:ind w:left="708"/>
        <w:jc w:val="both"/>
        <w:rPr>
          <w:rFonts w:ascii="Arial" w:eastAsia="Times New Roman" w:hAnsi="Arial" w:cs="Arial"/>
          <w:i/>
          <w:color w:val="2E74B5" w:themeColor="accent1" w:themeShade="BF"/>
          <w:sz w:val="20"/>
          <w:szCs w:val="20"/>
          <w:lang w:eastAsia="es-MX"/>
        </w:rPr>
      </w:pPr>
    </w:p>
    <w:p w:rsidR="003C50D2" w:rsidRPr="000F33B5" w:rsidRDefault="00083107" w:rsidP="000F33B5">
      <w:pPr>
        <w:spacing w:after="0" w:line="276" w:lineRule="auto"/>
        <w:ind w:left="708"/>
        <w:jc w:val="both"/>
        <w:rPr>
          <w:rFonts w:ascii="Arial" w:eastAsia="Times New Roman" w:hAnsi="Arial" w:cs="Arial"/>
          <w:i/>
          <w:color w:val="2E74B5" w:themeColor="accent1" w:themeShade="BF"/>
          <w:sz w:val="20"/>
          <w:szCs w:val="20"/>
          <w:lang w:eastAsia="es-MX"/>
        </w:rPr>
      </w:pPr>
      <w:r w:rsidRPr="000F33B5">
        <w:rPr>
          <w:rFonts w:ascii="Arial" w:eastAsia="Times New Roman" w:hAnsi="Arial" w:cs="Arial"/>
          <w:i/>
          <w:color w:val="2E74B5" w:themeColor="accent1" w:themeShade="BF"/>
          <w:sz w:val="20"/>
          <w:szCs w:val="20"/>
          <w:lang w:eastAsia="es-MX"/>
        </w:rPr>
        <w:t>2.- Programa de operación de abastecimiento (cierre y apertura), diario con su horario y semanal</w:t>
      </w:r>
      <w:r w:rsidR="003C50D2" w:rsidRPr="000F33B5">
        <w:rPr>
          <w:rFonts w:ascii="Arial" w:eastAsia="Times New Roman" w:hAnsi="Arial" w:cs="Arial"/>
          <w:i/>
          <w:color w:val="2E74B5" w:themeColor="accent1" w:themeShade="BF"/>
          <w:sz w:val="20"/>
          <w:szCs w:val="20"/>
          <w:lang w:eastAsia="es-MX"/>
        </w:rPr>
        <w:t>…” (Sic).</w:t>
      </w:r>
    </w:p>
    <w:p w:rsidR="00404D7A" w:rsidRPr="000F33B5" w:rsidRDefault="00404D7A" w:rsidP="000F33B5">
      <w:pPr>
        <w:spacing w:after="0" w:line="276" w:lineRule="auto"/>
        <w:ind w:left="708"/>
        <w:jc w:val="both"/>
        <w:rPr>
          <w:rFonts w:ascii="Arial" w:eastAsia="Times New Roman" w:hAnsi="Arial" w:cs="Arial"/>
          <w:i/>
          <w:color w:val="2E74B5" w:themeColor="accent1" w:themeShade="BF"/>
          <w:sz w:val="20"/>
          <w:szCs w:val="20"/>
          <w:lang w:eastAsia="es-MX"/>
        </w:rPr>
      </w:pPr>
    </w:p>
    <w:p w:rsidR="00404D7A" w:rsidRPr="000F33B5" w:rsidRDefault="00404D7A" w:rsidP="000F33B5">
      <w:pPr>
        <w:spacing w:after="0" w:line="276" w:lineRule="auto"/>
        <w:ind w:firstLine="708"/>
        <w:jc w:val="both"/>
        <w:rPr>
          <w:rFonts w:ascii="Arial" w:eastAsia="Times New Roman" w:hAnsi="Arial" w:cs="Arial"/>
          <w:color w:val="2E74B5" w:themeColor="accent1" w:themeShade="BF"/>
          <w:sz w:val="24"/>
          <w:szCs w:val="24"/>
          <w:lang w:eastAsia="es-MX"/>
        </w:rPr>
      </w:pPr>
      <w:r w:rsidRPr="000F33B5">
        <w:rPr>
          <w:rFonts w:ascii="Arial" w:hAnsi="Arial" w:cs="Arial"/>
          <w:b/>
          <w:color w:val="2E74B5" w:themeColor="accent1" w:themeShade="BF"/>
          <w:sz w:val="24"/>
          <w:szCs w:val="24"/>
        </w:rPr>
        <w:t>SEGUNDO</w:t>
      </w:r>
      <w:r w:rsidRPr="000F33B5">
        <w:rPr>
          <w:rFonts w:ascii="Arial" w:eastAsia="Times New Roman" w:hAnsi="Arial" w:cs="Arial"/>
          <w:b/>
          <w:color w:val="2E74B5" w:themeColor="accent1" w:themeShade="BF"/>
          <w:sz w:val="24"/>
          <w:szCs w:val="24"/>
          <w:lang w:eastAsia="es-MX"/>
        </w:rPr>
        <w:t xml:space="preserve">. Respuesta a la solicitud de acceso a la información pública. </w:t>
      </w:r>
      <w:r w:rsidRPr="000F33B5">
        <w:rPr>
          <w:rFonts w:ascii="Arial" w:eastAsia="Times New Roman" w:hAnsi="Arial" w:cs="Arial"/>
          <w:color w:val="2E74B5" w:themeColor="accent1" w:themeShade="BF"/>
          <w:sz w:val="24"/>
          <w:szCs w:val="24"/>
          <w:lang w:eastAsia="es-MX"/>
        </w:rPr>
        <w:t>El 01 uno de junio de 2018 dos mil dieciocho el sujeto obligado</w:t>
      </w:r>
      <w:r w:rsidRPr="000F33B5">
        <w:rPr>
          <w:rFonts w:ascii="Arial" w:eastAsia="Times New Roman" w:hAnsi="Arial" w:cs="Arial"/>
          <w:b/>
          <w:color w:val="2E74B5" w:themeColor="accent1" w:themeShade="BF"/>
          <w:sz w:val="24"/>
          <w:szCs w:val="24"/>
          <w:lang w:eastAsia="es-MX"/>
        </w:rPr>
        <w:t xml:space="preserve"> </w:t>
      </w:r>
      <w:r w:rsidRPr="000F33B5">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0F33B5">
        <w:rPr>
          <w:rFonts w:ascii="Arial" w:eastAsia="Times New Roman" w:hAnsi="Arial" w:cs="Arial"/>
          <w:color w:val="2E74B5" w:themeColor="accent1" w:themeShade="BF"/>
          <w:sz w:val="24"/>
          <w:szCs w:val="24"/>
          <w:vertAlign w:val="superscript"/>
          <w:lang w:eastAsia="es-MX"/>
        </w:rPr>
        <w:footnoteReference w:id="2"/>
      </w:r>
      <w:r w:rsidRPr="000F33B5">
        <w:rPr>
          <w:rFonts w:ascii="Arial" w:eastAsia="Times New Roman" w:hAnsi="Arial" w:cs="Arial"/>
          <w:color w:val="2E74B5" w:themeColor="accent1" w:themeShade="BF"/>
          <w:sz w:val="24"/>
          <w:szCs w:val="24"/>
          <w:lang w:eastAsia="es-MX"/>
        </w:rPr>
        <w:t>:</w:t>
      </w:r>
    </w:p>
    <w:p w:rsidR="00B27264" w:rsidRPr="000F33B5" w:rsidRDefault="00B27264" w:rsidP="000F33B5">
      <w:pPr>
        <w:spacing w:after="0" w:line="276" w:lineRule="auto"/>
        <w:ind w:firstLine="708"/>
        <w:jc w:val="both"/>
        <w:rPr>
          <w:rFonts w:ascii="Arial" w:eastAsia="Times New Roman" w:hAnsi="Arial" w:cs="Arial"/>
          <w:color w:val="2E74B5" w:themeColor="accent1" w:themeShade="BF"/>
          <w:sz w:val="24"/>
          <w:szCs w:val="24"/>
          <w:lang w:eastAsia="es-MX"/>
        </w:rPr>
      </w:pPr>
    </w:p>
    <w:p w:rsidR="003C50D2" w:rsidRPr="000F33B5" w:rsidRDefault="00B27264" w:rsidP="000F33B5">
      <w:pPr>
        <w:spacing w:after="0" w:line="276" w:lineRule="auto"/>
        <w:jc w:val="both"/>
        <w:rPr>
          <w:rFonts w:ascii="Arial" w:eastAsia="Times New Roman" w:hAnsi="Arial" w:cs="Arial"/>
          <w:b/>
          <w:color w:val="2E74B5" w:themeColor="accent1" w:themeShade="BF"/>
          <w:sz w:val="24"/>
          <w:szCs w:val="24"/>
          <w:lang w:eastAsia="es-MX"/>
        </w:rPr>
      </w:pPr>
      <w:r w:rsidRPr="000F33B5">
        <w:rPr>
          <w:rFonts w:ascii="Arial" w:eastAsia="Times New Roman" w:hAnsi="Arial" w:cs="Arial"/>
          <w:b/>
          <w:noProof/>
          <w:color w:val="2E74B5" w:themeColor="accent1" w:themeShade="BF"/>
          <w:sz w:val="24"/>
          <w:szCs w:val="24"/>
          <w:lang w:eastAsia="es-MX"/>
        </w:rPr>
        <w:drawing>
          <wp:inline distT="0" distB="0" distL="0" distR="0" wp14:anchorId="34191AF9" wp14:editId="422C7FD3">
            <wp:extent cx="5603240" cy="18510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3240" cy="1851025"/>
                    </a:xfrm>
                    <a:prstGeom prst="rect">
                      <a:avLst/>
                    </a:prstGeom>
                    <a:noFill/>
                    <a:ln>
                      <a:noFill/>
                    </a:ln>
                  </pic:spPr>
                </pic:pic>
              </a:graphicData>
            </a:graphic>
          </wp:inline>
        </w:drawing>
      </w:r>
    </w:p>
    <w:p w:rsidR="00B27264" w:rsidRPr="000F33B5" w:rsidRDefault="00B27264" w:rsidP="000F33B5">
      <w:pPr>
        <w:pStyle w:val="corte4fondo"/>
        <w:spacing w:line="276" w:lineRule="auto"/>
        <w:rPr>
          <w:rFonts w:cs="Arial"/>
          <w:b/>
          <w:color w:val="2E74B5" w:themeColor="accent1" w:themeShade="BF"/>
          <w:sz w:val="24"/>
          <w:szCs w:val="24"/>
        </w:rPr>
      </w:pPr>
    </w:p>
    <w:p w:rsidR="007B100C" w:rsidRPr="000F33B5" w:rsidRDefault="00404D7A" w:rsidP="000F33B5">
      <w:pPr>
        <w:pStyle w:val="corte4fondo"/>
        <w:spacing w:line="276" w:lineRule="auto"/>
        <w:rPr>
          <w:rFonts w:cs="Arial"/>
          <w:color w:val="2E74B5" w:themeColor="accent1" w:themeShade="BF"/>
          <w:sz w:val="24"/>
          <w:szCs w:val="24"/>
        </w:rPr>
      </w:pPr>
      <w:r w:rsidRPr="000F33B5">
        <w:rPr>
          <w:rFonts w:cs="Arial"/>
          <w:b/>
          <w:color w:val="2E74B5" w:themeColor="accent1" w:themeShade="BF"/>
          <w:sz w:val="24"/>
          <w:szCs w:val="24"/>
        </w:rPr>
        <w:t>TERCERO</w:t>
      </w:r>
      <w:r w:rsidR="003C50D2" w:rsidRPr="000F33B5">
        <w:rPr>
          <w:rFonts w:cs="Arial"/>
          <w:b/>
          <w:color w:val="2E74B5" w:themeColor="accent1" w:themeShade="BF"/>
          <w:sz w:val="24"/>
          <w:szCs w:val="24"/>
        </w:rPr>
        <w:t xml:space="preserve">. Interposición del recurso. </w:t>
      </w:r>
      <w:r w:rsidR="003C50D2" w:rsidRPr="000F33B5">
        <w:rPr>
          <w:rFonts w:cs="Arial"/>
          <w:color w:val="2E74B5" w:themeColor="accent1" w:themeShade="BF"/>
          <w:sz w:val="24"/>
          <w:szCs w:val="24"/>
        </w:rPr>
        <w:t xml:space="preserve">El </w:t>
      </w:r>
      <w:r w:rsidR="00083107" w:rsidRPr="000F33B5">
        <w:rPr>
          <w:rFonts w:cs="Arial"/>
          <w:color w:val="2E74B5" w:themeColor="accent1" w:themeShade="BF"/>
          <w:sz w:val="24"/>
          <w:szCs w:val="24"/>
        </w:rPr>
        <w:t xml:space="preserve">15 quince de junio </w:t>
      </w:r>
      <w:r w:rsidR="003C50D2" w:rsidRPr="000F33B5">
        <w:rPr>
          <w:rFonts w:cs="Arial"/>
          <w:color w:val="2E74B5" w:themeColor="accent1" w:themeShade="BF"/>
          <w:sz w:val="24"/>
          <w:szCs w:val="24"/>
        </w:rPr>
        <w:t xml:space="preserve">de 2018 dos mil dieciocho, </w:t>
      </w:r>
      <w:r w:rsidR="007B100C" w:rsidRPr="000F33B5">
        <w:rPr>
          <w:rFonts w:cs="Arial"/>
          <w:color w:val="2E74B5" w:themeColor="accent1" w:themeShade="BF"/>
          <w:sz w:val="24"/>
          <w:szCs w:val="24"/>
        </w:rPr>
        <w:t>a través del Sistema de Gestión de Medios de Impugnación, el solicitante de la información interpuso recurso de revisión, mismo que quedó presentado ante la Oficialía de Partes de esta Comisión Estatal de Garantía de Acceso a la Información Pública el día 18 dieciocho del referido mes y año</w:t>
      </w:r>
      <w:r w:rsidR="001E245B">
        <w:rPr>
          <w:rFonts w:cs="Arial"/>
          <w:color w:val="2E74B5" w:themeColor="accent1" w:themeShade="BF"/>
          <w:sz w:val="24"/>
          <w:szCs w:val="24"/>
        </w:rPr>
        <w:t xml:space="preserve">, </w:t>
      </w:r>
      <w:r w:rsidR="001E245B" w:rsidRPr="00A40225">
        <w:rPr>
          <w:rFonts w:cs="Arial"/>
          <w:color w:val="2E74B5" w:themeColor="accent1" w:themeShade="BF"/>
          <w:sz w:val="24"/>
          <w:szCs w:val="24"/>
        </w:rPr>
        <w:t>esto es, al día hábil siguiente al que fue interpuesto, por haber sido interpuesto ante el sistema posterior a la hora establecida, de conformidad con el Acuerdo de Pleno S.O. CEGAIP-208/2014 emitido en Sesión Ordinaria de 15 de enero de 2018 dos mil dieciocho.</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 xml:space="preserve"> </w:t>
      </w:r>
    </w:p>
    <w:p w:rsidR="003C50D2" w:rsidRPr="000F33B5" w:rsidRDefault="000F33B5"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CUARTO</w:t>
      </w:r>
      <w:r w:rsidR="00083107" w:rsidRPr="000F33B5">
        <w:rPr>
          <w:rFonts w:ascii="Arial" w:eastAsia="Times New Roman" w:hAnsi="Arial" w:cs="Arial"/>
          <w:b/>
          <w:color w:val="2E74B5" w:themeColor="accent1" w:themeShade="BF"/>
          <w:sz w:val="24"/>
          <w:szCs w:val="24"/>
          <w:lang w:eastAsia="es-MX"/>
        </w:rPr>
        <w:t>.</w:t>
      </w:r>
      <w:r w:rsidR="00083107" w:rsidRPr="000F33B5">
        <w:rPr>
          <w:rFonts w:cs="Arial"/>
          <w:b/>
          <w:color w:val="2E74B5" w:themeColor="accent1" w:themeShade="BF"/>
          <w:sz w:val="24"/>
          <w:szCs w:val="24"/>
        </w:rPr>
        <w:t xml:space="preserve"> </w:t>
      </w:r>
      <w:r w:rsidR="003C50D2" w:rsidRPr="000F33B5">
        <w:rPr>
          <w:rFonts w:ascii="Arial" w:eastAsia="Times New Roman" w:hAnsi="Arial" w:cs="Arial"/>
          <w:b/>
          <w:color w:val="2E74B5" w:themeColor="accent1" w:themeShade="BF"/>
          <w:sz w:val="24"/>
          <w:szCs w:val="24"/>
          <w:lang w:eastAsia="es-MX"/>
        </w:rPr>
        <w:t xml:space="preserve">Trámite del recurso de revisión ante esta Comisión Estatal de Garantía de Acceso a la Información Pública. </w:t>
      </w:r>
      <w:r w:rsidR="003C50D2" w:rsidRPr="000F33B5">
        <w:rPr>
          <w:rFonts w:ascii="Arial" w:eastAsia="Times New Roman" w:hAnsi="Arial" w:cs="Arial"/>
          <w:color w:val="2E74B5" w:themeColor="accent1" w:themeShade="BF"/>
          <w:sz w:val="24"/>
          <w:szCs w:val="24"/>
          <w:lang w:eastAsia="es-MX"/>
        </w:rPr>
        <w:t xml:space="preserve">Mediante auto del </w:t>
      </w:r>
      <w:r w:rsidR="007B100C" w:rsidRPr="000F33B5">
        <w:rPr>
          <w:rFonts w:ascii="Arial" w:hAnsi="Arial" w:cs="Arial"/>
          <w:color w:val="2E74B5" w:themeColor="accent1" w:themeShade="BF"/>
          <w:sz w:val="24"/>
          <w:szCs w:val="24"/>
        </w:rPr>
        <w:t xml:space="preserve">19 diecinueve de junio </w:t>
      </w:r>
      <w:r w:rsidR="003C50D2" w:rsidRPr="000F33B5">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0F33B5"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hAnsi="Arial" w:cs="Arial"/>
          <w:b/>
          <w:color w:val="2E74B5" w:themeColor="accent1" w:themeShade="BF"/>
          <w:sz w:val="24"/>
          <w:szCs w:val="24"/>
        </w:rPr>
        <w:t>QUINTO</w:t>
      </w:r>
      <w:r w:rsidR="00083107" w:rsidRPr="000F33B5">
        <w:rPr>
          <w:rFonts w:ascii="Arial" w:hAnsi="Arial" w:cs="Arial"/>
          <w:b/>
          <w:color w:val="2E74B5" w:themeColor="accent1" w:themeShade="BF"/>
          <w:sz w:val="24"/>
          <w:szCs w:val="24"/>
        </w:rPr>
        <w:t>.</w:t>
      </w:r>
      <w:r w:rsidR="003C50D2" w:rsidRPr="000F33B5">
        <w:rPr>
          <w:rFonts w:ascii="Arial" w:eastAsia="Times New Roman" w:hAnsi="Arial" w:cs="Arial"/>
          <w:b/>
          <w:color w:val="2E74B5" w:themeColor="accent1" w:themeShade="BF"/>
          <w:sz w:val="24"/>
          <w:szCs w:val="24"/>
          <w:lang w:eastAsia="es-MX"/>
        </w:rPr>
        <w:t xml:space="preserve"> Auto de admisión y trámite. </w:t>
      </w:r>
      <w:r w:rsidR="003C50D2" w:rsidRPr="000F33B5">
        <w:rPr>
          <w:rFonts w:ascii="Arial" w:eastAsia="Times New Roman" w:hAnsi="Arial" w:cs="Arial"/>
          <w:color w:val="2E74B5" w:themeColor="accent1" w:themeShade="BF"/>
          <w:sz w:val="24"/>
          <w:szCs w:val="24"/>
          <w:lang w:eastAsia="es-MX"/>
        </w:rPr>
        <w:t xml:space="preserve">Por proveído del </w:t>
      </w:r>
      <w:r w:rsidR="007B100C" w:rsidRPr="000F33B5">
        <w:rPr>
          <w:rFonts w:ascii="Arial" w:eastAsia="Times New Roman" w:hAnsi="Arial" w:cs="Arial"/>
          <w:color w:val="2E74B5" w:themeColor="accent1" w:themeShade="BF"/>
          <w:sz w:val="24"/>
          <w:szCs w:val="24"/>
          <w:lang w:eastAsia="es-MX"/>
        </w:rPr>
        <w:t xml:space="preserve">21 veintiuno de junio </w:t>
      </w:r>
      <w:r w:rsidR="003C50D2" w:rsidRPr="000F33B5">
        <w:rPr>
          <w:rFonts w:ascii="Arial" w:eastAsia="Times New Roman" w:hAnsi="Arial" w:cs="Arial"/>
          <w:color w:val="2E74B5" w:themeColor="accent1" w:themeShade="BF"/>
          <w:sz w:val="24"/>
          <w:szCs w:val="24"/>
          <w:lang w:eastAsia="es-MX"/>
        </w:rPr>
        <w:t>de 2018 dos mil dieciocho la Comisionado Ponente:</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3C50D2" w:rsidP="000F33B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Registró en el Libro de Gobierno el presente expediente como RR-</w:t>
      </w:r>
      <w:r w:rsidR="007B100C" w:rsidRPr="000F33B5">
        <w:rPr>
          <w:rFonts w:ascii="Arial" w:eastAsia="Times New Roman" w:hAnsi="Arial" w:cs="Arial"/>
          <w:color w:val="2E74B5" w:themeColor="accent1" w:themeShade="BF"/>
          <w:sz w:val="24"/>
          <w:szCs w:val="24"/>
          <w:lang w:eastAsia="es-MX"/>
        </w:rPr>
        <w:t>518</w:t>
      </w:r>
      <w:r w:rsidRPr="000F33B5">
        <w:rPr>
          <w:rFonts w:ascii="Arial" w:eastAsia="Times New Roman" w:hAnsi="Arial" w:cs="Arial"/>
          <w:color w:val="2E74B5" w:themeColor="accent1" w:themeShade="BF"/>
          <w:sz w:val="24"/>
          <w:szCs w:val="24"/>
          <w:lang w:eastAsia="es-MX"/>
        </w:rPr>
        <w:t>/2018-2 PLATAFORMA.</w:t>
      </w:r>
    </w:p>
    <w:p w:rsidR="003C50D2" w:rsidRPr="000F33B5" w:rsidRDefault="003C50D2" w:rsidP="000F33B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lastRenderedPageBreak/>
        <w:t>Admitió a trámite el presente recurso de revisión.</w:t>
      </w:r>
    </w:p>
    <w:p w:rsidR="003C50D2" w:rsidRPr="000F33B5" w:rsidRDefault="003C50D2" w:rsidP="000F33B5">
      <w:pPr>
        <w:pStyle w:val="corte4fondo"/>
        <w:numPr>
          <w:ilvl w:val="0"/>
          <w:numId w:val="2"/>
        </w:numPr>
        <w:spacing w:line="276" w:lineRule="auto"/>
        <w:rPr>
          <w:rFonts w:cs="Arial"/>
          <w:b/>
          <w:color w:val="2E74B5" w:themeColor="accent1" w:themeShade="BF"/>
          <w:sz w:val="24"/>
          <w:szCs w:val="24"/>
        </w:rPr>
      </w:pPr>
      <w:r w:rsidRPr="000F33B5">
        <w:rPr>
          <w:rFonts w:cs="Arial"/>
          <w:color w:val="2E74B5" w:themeColor="accent1" w:themeShade="BF"/>
          <w:sz w:val="24"/>
          <w:szCs w:val="24"/>
        </w:rPr>
        <w:t>Tuvo como sujeto obligado al</w:t>
      </w:r>
      <w:r w:rsidR="007B100C" w:rsidRPr="000F33B5">
        <w:rPr>
          <w:rFonts w:cs="Arial"/>
          <w:b/>
          <w:color w:val="2E74B5" w:themeColor="accent1" w:themeShade="BF"/>
          <w:sz w:val="24"/>
          <w:szCs w:val="24"/>
        </w:rPr>
        <w:t xml:space="preserve"> </w:t>
      </w:r>
      <w:r w:rsidR="00AA0DEC" w:rsidRPr="000F33B5">
        <w:rPr>
          <w:rFonts w:eastAsia="Arial Unicode MS" w:cs="Arial"/>
          <w:b/>
          <w:color w:val="2E74B5" w:themeColor="accent1" w:themeShade="BF"/>
          <w:sz w:val="24"/>
          <w:szCs w:val="24"/>
        </w:rPr>
        <w:t>ORGANISMO INTERMUNICIPAL METROPOLITANO DE AGUA POTABLE, ALCANTARILLADO, SANEAMIENTO Y SERVICIOS CONEXOS DE LOS MUNICIPIOS DE CERRO DE SAN PEDRO, SAN LUIS POTOSÍ Y SOLEDAD DE GRACIANO SÁNCHEZ (INTERAPAS) por conducto de su TITULAR y del TITULAR DE LA UNIDAD DE TRANSPARENCIA</w:t>
      </w:r>
      <w:r w:rsidRPr="000F33B5">
        <w:rPr>
          <w:rFonts w:cs="Arial"/>
          <w:color w:val="2E74B5" w:themeColor="accent1" w:themeShade="BF"/>
          <w:sz w:val="24"/>
          <w:szCs w:val="24"/>
        </w:rPr>
        <w:t>.</w:t>
      </w:r>
    </w:p>
    <w:p w:rsidR="003C50D2" w:rsidRPr="000F33B5" w:rsidRDefault="003C50D2" w:rsidP="000F33B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3C50D2" w:rsidRPr="000F33B5" w:rsidRDefault="003C50D2" w:rsidP="000F33B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3C50D2" w:rsidP="000F33B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Se encontraba en sus archivos.</w:t>
      </w:r>
    </w:p>
    <w:p w:rsidR="003C50D2" w:rsidRPr="000F33B5" w:rsidRDefault="003C50D2" w:rsidP="000F33B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3C50D2" w:rsidRPr="000F33B5" w:rsidRDefault="003C50D2" w:rsidP="000F33B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3C50D2" w:rsidRPr="000F33B5" w:rsidRDefault="003C50D2"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AE57D9" w:rsidRPr="000F33B5" w:rsidRDefault="00AE57D9" w:rsidP="000F33B5">
      <w:pPr>
        <w:pStyle w:val="corte4fondo"/>
        <w:spacing w:line="276" w:lineRule="auto"/>
        <w:rPr>
          <w:rFonts w:cs="Arial"/>
          <w:color w:val="2E74B5" w:themeColor="accent1" w:themeShade="BF"/>
          <w:sz w:val="24"/>
          <w:szCs w:val="24"/>
        </w:rPr>
      </w:pPr>
    </w:p>
    <w:p w:rsidR="00404D7A" w:rsidRPr="000F33B5" w:rsidRDefault="000F33B5" w:rsidP="000F33B5">
      <w:pPr>
        <w:pStyle w:val="corte4fondo"/>
        <w:spacing w:line="276" w:lineRule="auto"/>
        <w:rPr>
          <w:rFonts w:cs="Arial"/>
          <w:b/>
          <w:color w:val="2E74B5" w:themeColor="accent1" w:themeShade="BF"/>
          <w:sz w:val="24"/>
          <w:szCs w:val="24"/>
        </w:rPr>
      </w:pPr>
      <w:r w:rsidRPr="000F33B5">
        <w:rPr>
          <w:rFonts w:cs="Arial"/>
          <w:b/>
          <w:color w:val="2E74B5" w:themeColor="accent1" w:themeShade="BF"/>
          <w:sz w:val="24"/>
          <w:szCs w:val="24"/>
        </w:rPr>
        <w:t>SEXTO</w:t>
      </w:r>
      <w:r w:rsidR="00083107" w:rsidRPr="000F33B5">
        <w:rPr>
          <w:rFonts w:cs="Arial"/>
          <w:b/>
          <w:color w:val="2E74B5" w:themeColor="accent1" w:themeShade="BF"/>
          <w:sz w:val="24"/>
          <w:szCs w:val="24"/>
        </w:rPr>
        <w:t>.</w:t>
      </w:r>
      <w:r w:rsidR="000146DD" w:rsidRPr="000F33B5">
        <w:rPr>
          <w:rFonts w:cs="Arial"/>
          <w:b/>
          <w:color w:val="2E74B5" w:themeColor="accent1" w:themeShade="BF"/>
          <w:sz w:val="24"/>
          <w:szCs w:val="24"/>
        </w:rPr>
        <w:t xml:space="preserve"> </w:t>
      </w:r>
      <w:r w:rsidR="00404D7A" w:rsidRPr="000F33B5">
        <w:rPr>
          <w:rFonts w:cs="Arial"/>
          <w:b/>
          <w:color w:val="2E74B5" w:themeColor="accent1" w:themeShade="BF"/>
          <w:sz w:val="24"/>
          <w:szCs w:val="24"/>
        </w:rPr>
        <w:t>Omisión de rendir el informe de los sujetos obligados</w:t>
      </w:r>
      <w:r w:rsidR="00404D7A" w:rsidRPr="000F33B5">
        <w:rPr>
          <w:rFonts w:cs="Arial"/>
          <w:color w:val="2E74B5" w:themeColor="accent1" w:themeShade="BF"/>
          <w:sz w:val="24"/>
          <w:szCs w:val="24"/>
        </w:rPr>
        <w:t>. Por proveído del 16 dieciséis de julio de 2018 dos mil dieciocho la ponente del presente asunto:</w:t>
      </w:r>
    </w:p>
    <w:p w:rsidR="00404D7A" w:rsidRPr="000F33B5" w:rsidRDefault="00404D7A" w:rsidP="000F33B5">
      <w:pPr>
        <w:pStyle w:val="corte4fondo"/>
        <w:spacing w:line="276" w:lineRule="auto"/>
        <w:rPr>
          <w:rFonts w:cs="Arial"/>
          <w:color w:val="2E74B5" w:themeColor="accent1" w:themeShade="BF"/>
          <w:sz w:val="24"/>
          <w:szCs w:val="24"/>
        </w:rPr>
      </w:pPr>
    </w:p>
    <w:p w:rsidR="00404D7A" w:rsidRPr="000F33B5" w:rsidRDefault="00404D7A" w:rsidP="000F33B5">
      <w:pPr>
        <w:pStyle w:val="corte4fondo"/>
        <w:numPr>
          <w:ilvl w:val="0"/>
          <w:numId w:val="7"/>
        </w:numPr>
        <w:spacing w:line="276" w:lineRule="auto"/>
        <w:rPr>
          <w:rFonts w:cs="Arial"/>
          <w:color w:val="2E74B5" w:themeColor="accent1" w:themeShade="BF"/>
          <w:sz w:val="24"/>
          <w:szCs w:val="24"/>
        </w:rPr>
      </w:pPr>
      <w:r w:rsidRPr="000F33B5">
        <w:rPr>
          <w:rFonts w:cs="Arial"/>
          <w:color w:val="2E74B5" w:themeColor="accent1" w:themeShade="BF"/>
          <w:sz w:val="24"/>
          <w:szCs w:val="24"/>
        </w:rPr>
        <w:t xml:space="preserve">Tuvo por recibido el oficio IN/DG/018/2018 firmado por el </w:t>
      </w:r>
      <w:r w:rsidRPr="000F33B5">
        <w:rPr>
          <w:rFonts w:cs="Arial"/>
          <w:b/>
          <w:color w:val="2E74B5" w:themeColor="accent1" w:themeShade="BF"/>
          <w:sz w:val="24"/>
          <w:szCs w:val="24"/>
        </w:rPr>
        <w:t xml:space="preserve">DIRECTOR GENERAL </w:t>
      </w:r>
      <w:r w:rsidRPr="000F33B5">
        <w:rPr>
          <w:rFonts w:cs="Arial"/>
          <w:color w:val="2E74B5" w:themeColor="accent1" w:themeShade="BF"/>
          <w:sz w:val="24"/>
          <w:szCs w:val="24"/>
        </w:rPr>
        <w:t xml:space="preserve">y por el </w:t>
      </w:r>
      <w:r w:rsidRPr="000F33B5">
        <w:rPr>
          <w:rFonts w:cs="Arial"/>
          <w:b/>
          <w:color w:val="2E74B5" w:themeColor="accent1" w:themeShade="BF"/>
          <w:sz w:val="24"/>
          <w:szCs w:val="24"/>
        </w:rPr>
        <w:t>TITULAR DE LA UNIDAD DE INFORMACIÓN</w:t>
      </w:r>
      <w:r w:rsidRPr="000F33B5">
        <w:rPr>
          <w:rFonts w:cs="Arial"/>
          <w:color w:val="2E74B5" w:themeColor="accent1" w:themeShade="BF"/>
          <w:sz w:val="24"/>
          <w:szCs w:val="24"/>
        </w:rPr>
        <w:t xml:space="preserve"> </w:t>
      </w:r>
      <w:r w:rsidRPr="000F33B5">
        <w:rPr>
          <w:rFonts w:cs="Arial"/>
          <w:b/>
          <w:color w:val="2E74B5" w:themeColor="accent1" w:themeShade="BF"/>
          <w:sz w:val="24"/>
          <w:szCs w:val="24"/>
        </w:rPr>
        <w:t>PÚBLICA Y TRANSPARENCIA</w:t>
      </w:r>
      <w:r w:rsidRPr="000F33B5">
        <w:rPr>
          <w:rFonts w:cs="Arial"/>
          <w:color w:val="2E74B5" w:themeColor="accent1" w:themeShade="BF"/>
          <w:sz w:val="24"/>
          <w:szCs w:val="24"/>
        </w:rPr>
        <w:t xml:space="preserve">, ambos del </w:t>
      </w:r>
      <w:r w:rsidRPr="000F33B5">
        <w:rPr>
          <w:rFonts w:cs="Arial"/>
          <w:b/>
          <w:color w:val="2E74B5" w:themeColor="accent1" w:themeShade="BF"/>
          <w:sz w:val="24"/>
          <w:szCs w:val="24"/>
        </w:rPr>
        <w:t>INTERAPAS</w:t>
      </w:r>
      <w:r w:rsidRPr="000F33B5">
        <w:rPr>
          <w:rFonts w:cs="Arial"/>
          <w:color w:val="2E74B5" w:themeColor="accent1" w:themeShade="BF"/>
          <w:sz w:val="24"/>
          <w:szCs w:val="24"/>
        </w:rPr>
        <w:t>, junto con un anexo.</w:t>
      </w:r>
    </w:p>
    <w:p w:rsidR="00404D7A" w:rsidRPr="000F33B5" w:rsidRDefault="00404D7A" w:rsidP="000F33B5">
      <w:pPr>
        <w:pStyle w:val="corte4fondo"/>
        <w:numPr>
          <w:ilvl w:val="0"/>
          <w:numId w:val="7"/>
        </w:numPr>
        <w:spacing w:line="276" w:lineRule="auto"/>
        <w:rPr>
          <w:rFonts w:cs="Arial"/>
          <w:color w:val="2E74B5" w:themeColor="accent1" w:themeShade="BF"/>
          <w:sz w:val="24"/>
          <w:szCs w:val="24"/>
        </w:rPr>
      </w:pPr>
      <w:r w:rsidRPr="000F33B5">
        <w:rPr>
          <w:rFonts w:cs="Arial"/>
          <w:color w:val="2E74B5" w:themeColor="accent1" w:themeShade="BF"/>
          <w:sz w:val="24"/>
          <w:szCs w:val="24"/>
        </w:rPr>
        <w:t>Les reconoció su personalidad.</w:t>
      </w:r>
    </w:p>
    <w:p w:rsidR="00404D7A" w:rsidRPr="000F33B5" w:rsidRDefault="00404D7A" w:rsidP="000F33B5">
      <w:pPr>
        <w:pStyle w:val="corte4fondo"/>
        <w:spacing w:line="276" w:lineRule="auto"/>
        <w:ind w:left="1510" w:firstLine="0"/>
        <w:rPr>
          <w:rFonts w:cs="Arial"/>
          <w:color w:val="2E74B5" w:themeColor="accent1" w:themeShade="BF"/>
          <w:sz w:val="24"/>
          <w:szCs w:val="24"/>
        </w:rPr>
      </w:pPr>
      <w:r w:rsidRPr="000F33B5">
        <w:rPr>
          <w:rFonts w:cs="Arial"/>
          <w:color w:val="2E74B5" w:themeColor="accent1" w:themeShade="BF"/>
          <w:sz w:val="24"/>
          <w:szCs w:val="24"/>
        </w:rPr>
        <w:t xml:space="preserve"> </w:t>
      </w:r>
    </w:p>
    <w:p w:rsidR="00404D7A" w:rsidRPr="000F33B5" w:rsidRDefault="00404D7A" w:rsidP="000F33B5">
      <w:pPr>
        <w:pStyle w:val="corte4fondo"/>
        <w:spacing w:line="276" w:lineRule="auto"/>
        <w:rPr>
          <w:rFonts w:cs="Arial"/>
          <w:color w:val="2E74B5" w:themeColor="accent1" w:themeShade="BF"/>
          <w:sz w:val="24"/>
          <w:szCs w:val="24"/>
        </w:rPr>
      </w:pPr>
      <w:r w:rsidRPr="000F33B5">
        <w:rPr>
          <w:rFonts w:cs="Arial"/>
          <w:color w:val="2E74B5" w:themeColor="accent1" w:themeShade="BF"/>
          <w:sz w:val="24"/>
          <w:szCs w:val="24"/>
        </w:rPr>
        <w:t xml:space="preserve">Ahora, en virtud del plazo que tenían las autoridades para rendir el informe y de acuerdo a la certificación que obran en autos </w:t>
      </w:r>
      <w:r w:rsidRPr="000F33B5">
        <w:rPr>
          <w:rFonts w:cs="Arial"/>
          <w:color w:val="2E74B5" w:themeColor="accent1" w:themeShade="BF"/>
          <w:sz w:val="20"/>
        </w:rPr>
        <w:t>(visible a foja 15)</w:t>
      </w:r>
      <w:r w:rsidRPr="000F33B5">
        <w:rPr>
          <w:rFonts w:cs="Arial"/>
          <w:color w:val="2E74B5" w:themeColor="accent1" w:themeShade="BF"/>
          <w:sz w:val="24"/>
          <w:szCs w:val="24"/>
        </w:rPr>
        <w:t xml:space="preserve">, la ponente advirtió que el </w:t>
      </w:r>
      <w:r w:rsidRPr="000F33B5">
        <w:rPr>
          <w:rFonts w:cs="Arial"/>
          <w:b/>
          <w:color w:val="2E74B5" w:themeColor="accent1" w:themeShade="BF"/>
          <w:sz w:val="24"/>
          <w:szCs w:val="24"/>
        </w:rPr>
        <w:t>DIRECTOR GENERAL Y EL TITULAR DE LA UNIDAD DE INFORMACIÓN PÚBLICA Y TRANSPARENCIA</w:t>
      </w:r>
      <w:r w:rsidRPr="000F33B5">
        <w:rPr>
          <w:rFonts w:cs="Arial"/>
          <w:color w:val="2E74B5" w:themeColor="accent1" w:themeShade="BF"/>
          <w:sz w:val="24"/>
          <w:szCs w:val="24"/>
        </w:rPr>
        <w:t xml:space="preserve">, presentaron el informe que les fue solicitado de </w:t>
      </w:r>
      <w:r w:rsidRPr="000F33B5">
        <w:rPr>
          <w:rFonts w:cs="Arial"/>
          <w:color w:val="2E74B5" w:themeColor="accent1" w:themeShade="BF"/>
          <w:sz w:val="24"/>
          <w:szCs w:val="24"/>
        </w:rPr>
        <w:lastRenderedPageBreak/>
        <w:t>forma extemporánea, de ahí, que el mismo fue agregado únicamente a los autos sin tomar en cuanta manifestación alguna ahí expresada.</w:t>
      </w:r>
    </w:p>
    <w:p w:rsidR="00404D7A" w:rsidRPr="000F33B5" w:rsidRDefault="00404D7A" w:rsidP="000F33B5">
      <w:pPr>
        <w:pStyle w:val="corte4fondo"/>
        <w:spacing w:line="276" w:lineRule="auto"/>
        <w:rPr>
          <w:rFonts w:cs="Arial"/>
          <w:color w:val="2E74B5" w:themeColor="accent1" w:themeShade="BF"/>
          <w:sz w:val="24"/>
          <w:szCs w:val="24"/>
        </w:rPr>
      </w:pPr>
    </w:p>
    <w:p w:rsidR="00404D7A" w:rsidRPr="000F33B5" w:rsidRDefault="00404D7A" w:rsidP="000F33B5">
      <w:pPr>
        <w:pStyle w:val="corte4fondo"/>
        <w:spacing w:line="276" w:lineRule="auto"/>
        <w:rPr>
          <w:rFonts w:cs="Arial"/>
          <w:color w:val="2E74B5" w:themeColor="accent1" w:themeShade="BF"/>
          <w:sz w:val="24"/>
          <w:szCs w:val="24"/>
        </w:rPr>
      </w:pPr>
      <w:r w:rsidRPr="000F33B5">
        <w:rPr>
          <w:rFonts w:cs="Arial"/>
          <w:color w:val="2E74B5" w:themeColor="accent1" w:themeShade="BF"/>
          <w:sz w:val="24"/>
          <w:szCs w:val="24"/>
        </w:rPr>
        <w:t>Respecto de la parte recurrente, también se le tuvo por omiso en realizar las manifestaciones que a su derecho conviniera y para ofrecer las pruebas o alegatos correspondientes.</w:t>
      </w:r>
    </w:p>
    <w:p w:rsidR="00AE57D9" w:rsidRPr="000F33B5" w:rsidRDefault="00AE57D9" w:rsidP="000F33B5">
      <w:pPr>
        <w:pStyle w:val="corte4fondo"/>
        <w:spacing w:line="276" w:lineRule="auto"/>
        <w:rPr>
          <w:rFonts w:cs="Arial"/>
          <w:color w:val="2E74B5" w:themeColor="accent1" w:themeShade="BF"/>
          <w:sz w:val="24"/>
          <w:szCs w:val="24"/>
        </w:rPr>
      </w:pPr>
    </w:p>
    <w:p w:rsidR="00AA0DEC" w:rsidRPr="000F33B5" w:rsidRDefault="000F33B5" w:rsidP="000F33B5">
      <w:pPr>
        <w:pStyle w:val="corte4fondo"/>
        <w:spacing w:line="276" w:lineRule="auto"/>
        <w:rPr>
          <w:rFonts w:cs="Arial"/>
          <w:color w:val="2E74B5" w:themeColor="accent1" w:themeShade="BF"/>
          <w:sz w:val="24"/>
          <w:szCs w:val="24"/>
          <w:lang w:val="es-ES"/>
        </w:rPr>
      </w:pPr>
      <w:r w:rsidRPr="000F33B5">
        <w:rPr>
          <w:rFonts w:cs="Arial"/>
          <w:b/>
          <w:color w:val="2E74B5" w:themeColor="accent1" w:themeShade="BF"/>
          <w:sz w:val="24"/>
          <w:szCs w:val="24"/>
        </w:rPr>
        <w:t>SÉPTIMO</w:t>
      </w:r>
      <w:r w:rsidR="00404D7A" w:rsidRPr="000F33B5">
        <w:rPr>
          <w:rFonts w:cs="Arial"/>
          <w:b/>
          <w:color w:val="2E74B5" w:themeColor="accent1" w:themeShade="BF"/>
          <w:sz w:val="24"/>
          <w:szCs w:val="24"/>
        </w:rPr>
        <w:t xml:space="preserve">. Ampliación del plazo para resolver. </w:t>
      </w:r>
      <w:r w:rsidR="00404D7A" w:rsidRPr="000F33B5">
        <w:rPr>
          <w:rFonts w:cs="Arial"/>
          <w:color w:val="2E74B5" w:themeColor="accent1" w:themeShade="BF"/>
          <w:sz w:val="24"/>
          <w:szCs w:val="24"/>
        </w:rPr>
        <w:t xml:space="preserve">Por auto de 15 quince de agosto de 2018 dos mil dieciocho </w:t>
      </w:r>
      <w:r w:rsidR="00AA0DEC" w:rsidRPr="000F33B5">
        <w:rPr>
          <w:rFonts w:cs="Arial"/>
          <w:color w:val="2E74B5" w:themeColor="accent1" w:themeShade="BF"/>
          <w:sz w:val="24"/>
          <w:szCs w:val="24"/>
        </w:rPr>
        <w:t>la ponente decretó la ampliación del plazo para resolver el presente asunto</w:t>
      </w:r>
      <w:r w:rsidR="00AA0DEC" w:rsidRPr="000F33B5">
        <w:rPr>
          <w:rFonts w:cs="Arial"/>
          <w:color w:val="2E74B5" w:themeColor="accent1" w:themeShade="BF"/>
          <w:sz w:val="24"/>
          <w:szCs w:val="24"/>
          <w:lang w:val="es-ES"/>
        </w:rPr>
        <w:t xml:space="preserve">, ello </w:t>
      </w:r>
      <w:r w:rsidR="00AA0DEC" w:rsidRPr="000F33B5">
        <w:rPr>
          <w:rFonts w:cs="Arial"/>
          <w:color w:val="2E74B5" w:themeColor="accent1" w:themeShade="BF"/>
          <w:sz w:val="24"/>
          <w:szCs w:val="24"/>
        </w:rPr>
        <w:t>de conformidad con el Lineamiento Décimo Noveno de los Lineamientos para la Recepción, Sustanciación, Resolución</w:t>
      </w:r>
      <w:r w:rsidR="00AA0DEC" w:rsidRPr="000F33B5">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00AA0DEC" w:rsidRPr="000F33B5">
        <w:rPr>
          <w:rFonts w:cs="Arial"/>
          <w:color w:val="2E74B5" w:themeColor="accent1" w:themeShade="BF"/>
          <w:sz w:val="24"/>
          <w:szCs w:val="24"/>
        </w:rPr>
        <w:t xml:space="preserve"> </w:t>
      </w:r>
    </w:p>
    <w:p w:rsidR="00AE57D9" w:rsidRPr="000F33B5" w:rsidRDefault="00AE57D9" w:rsidP="000F33B5">
      <w:pPr>
        <w:pStyle w:val="corte4fondo"/>
        <w:spacing w:line="276" w:lineRule="auto"/>
        <w:ind w:firstLine="0"/>
        <w:rPr>
          <w:rFonts w:cs="Arial"/>
          <w:color w:val="2E74B5" w:themeColor="accent1" w:themeShade="BF"/>
          <w:sz w:val="24"/>
          <w:szCs w:val="24"/>
        </w:rPr>
      </w:pPr>
    </w:p>
    <w:p w:rsidR="00AE57D9" w:rsidRPr="000F33B5" w:rsidRDefault="00AE57D9" w:rsidP="000F33B5">
      <w:pPr>
        <w:pStyle w:val="corte4fondo"/>
        <w:spacing w:line="276" w:lineRule="auto"/>
        <w:rPr>
          <w:rFonts w:cs="Arial"/>
          <w:color w:val="2E74B5" w:themeColor="accent1" w:themeShade="BF"/>
          <w:sz w:val="24"/>
          <w:szCs w:val="24"/>
        </w:rPr>
      </w:pPr>
      <w:r w:rsidRPr="000F33B5">
        <w:rPr>
          <w:rFonts w:cs="Arial"/>
          <w:color w:val="2E74B5" w:themeColor="accent1" w:themeShade="BF"/>
          <w:sz w:val="24"/>
          <w:szCs w:val="24"/>
        </w:rPr>
        <w:t>Para concluir, la ponente declaró cerrado el periodo de instrucción y procedió a elaborar el proyecto de resolución respectivo.</w:t>
      </w: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AE57D9" w:rsidRPr="000F33B5" w:rsidRDefault="00AE57D9" w:rsidP="000F33B5">
      <w:pPr>
        <w:spacing w:after="0" w:line="276" w:lineRule="auto"/>
        <w:ind w:firstLine="709"/>
        <w:jc w:val="center"/>
        <w:rPr>
          <w:rFonts w:ascii="Arial" w:eastAsia="Times New Roman" w:hAnsi="Arial" w:cs="Arial"/>
          <w:b/>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CONSIDERANDO</w:t>
      </w:r>
    </w:p>
    <w:p w:rsidR="00AE57D9" w:rsidRPr="000F33B5" w:rsidRDefault="00AE57D9" w:rsidP="000F33B5">
      <w:pPr>
        <w:spacing w:after="0" w:line="276" w:lineRule="auto"/>
        <w:ind w:firstLine="709"/>
        <w:jc w:val="center"/>
        <w:rPr>
          <w:rFonts w:ascii="Arial" w:eastAsia="Times New Roman" w:hAnsi="Arial" w:cs="Arial"/>
          <w:b/>
          <w:color w:val="2E74B5" w:themeColor="accent1" w:themeShade="BF"/>
          <w:sz w:val="24"/>
          <w:szCs w:val="24"/>
          <w:lang w:eastAsia="es-MX"/>
        </w:rPr>
      </w:pP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 xml:space="preserve">PRIMERO. Competencia. </w:t>
      </w:r>
      <w:r w:rsidRPr="000F33B5">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 xml:space="preserve">SEGUNDO. Procedencia. </w:t>
      </w:r>
      <w:r w:rsidRPr="000F33B5">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TERCERO. Oportunidad del recurso</w:t>
      </w:r>
      <w:r w:rsidRPr="000F33B5">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AE57D9" w:rsidRPr="000F33B5" w:rsidRDefault="00AE57D9" w:rsidP="000F33B5">
      <w:pPr>
        <w:spacing w:after="0" w:line="276" w:lineRule="auto"/>
        <w:ind w:firstLine="709"/>
        <w:jc w:val="both"/>
        <w:rPr>
          <w:rFonts w:ascii="Arial" w:eastAsia="Times New Roman" w:hAnsi="Arial" w:cs="Arial"/>
          <w:color w:val="2E74B5" w:themeColor="accent1" w:themeShade="BF"/>
          <w:sz w:val="24"/>
          <w:szCs w:val="24"/>
          <w:lang w:eastAsia="es-MX"/>
        </w:rPr>
      </w:pPr>
    </w:p>
    <w:p w:rsidR="00AE57D9" w:rsidRPr="000F33B5" w:rsidRDefault="00AE57D9" w:rsidP="000F33B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 xml:space="preserve">El </w:t>
      </w:r>
      <w:r w:rsidR="00404D7A" w:rsidRPr="000F33B5">
        <w:rPr>
          <w:rFonts w:ascii="Arial" w:eastAsia="Times New Roman" w:hAnsi="Arial" w:cs="Arial"/>
          <w:color w:val="2E74B5" w:themeColor="accent1" w:themeShade="BF"/>
          <w:sz w:val="24"/>
          <w:szCs w:val="24"/>
          <w:lang w:eastAsia="es-MX"/>
        </w:rPr>
        <w:t xml:space="preserve">01 uno de junio </w:t>
      </w:r>
      <w:r w:rsidRPr="000F33B5">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AE57D9" w:rsidRPr="000F33B5" w:rsidRDefault="00AE57D9" w:rsidP="000F33B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Por lo tanto, el plazo de los quince días hábiles para interponer el recurso de revisión transcurrió del día</w:t>
      </w:r>
      <w:r w:rsidR="00834F4F" w:rsidRPr="000F33B5">
        <w:rPr>
          <w:rFonts w:ascii="Arial" w:eastAsia="Times New Roman" w:hAnsi="Arial" w:cs="Arial"/>
          <w:color w:val="2E74B5" w:themeColor="accent1" w:themeShade="BF"/>
          <w:sz w:val="24"/>
          <w:szCs w:val="24"/>
          <w:lang w:eastAsia="es-MX"/>
        </w:rPr>
        <w:t xml:space="preserve"> 04 cuatro al </w:t>
      </w:r>
      <w:r w:rsidR="00B27264" w:rsidRPr="000F33B5">
        <w:rPr>
          <w:rFonts w:ascii="Arial" w:eastAsia="Times New Roman" w:hAnsi="Arial" w:cs="Arial"/>
          <w:color w:val="2E74B5" w:themeColor="accent1" w:themeShade="BF"/>
          <w:sz w:val="24"/>
          <w:szCs w:val="24"/>
          <w:lang w:eastAsia="es-MX"/>
        </w:rPr>
        <w:t xml:space="preserve">22 veintidós de junio </w:t>
      </w:r>
      <w:r w:rsidR="00834F4F" w:rsidRPr="000F33B5">
        <w:rPr>
          <w:rFonts w:ascii="Arial" w:eastAsia="Times New Roman" w:hAnsi="Arial" w:cs="Arial"/>
          <w:color w:val="2E74B5" w:themeColor="accent1" w:themeShade="BF"/>
          <w:sz w:val="24"/>
          <w:szCs w:val="24"/>
          <w:lang w:eastAsia="es-MX"/>
        </w:rPr>
        <w:t>del año en curso</w:t>
      </w:r>
      <w:r w:rsidRPr="000F33B5">
        <w:rPr>
          <w:rFonts w:ascii="Arial" w:eastAsia="Times New Roman" w:hAnsi="Arial" w:cs="Arial"/>
          <w:color w:val="2E74B5" w:themeColor="accent1" w:themeShade="BF"/>
          <w:sz w:val="24"/>
          <w:szCs w:val="24"/>
          <w:lang w:eastAsia="es-MX"/>
        </w:rPr>
        <w:t xml:space="preserve">. </w:t>
      </w:r>
    </w:p>
    <w:p w:rsidR="00B27264" w:rsidRPr="000F33B5" w:rsidRDefault="00AE57D9" w:rsidP="000F33B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Se deben de descontar de dicho cómputo por ser inhábiles los días</w:t>
      </w:r>
      <w:r w:rsidR="00A9320F" w:rsidRPr="000F33B5">
        <w:rPr>
          <w:rFonts w:ascii="Arial" w:eastAsia="Times New Roman" w:hAnsi="Arial" w:cs="Arial"/>
          <w:color w:val="2E74B5" w:themeColor="accent1" w:themeShade="BF"/>
          <w:sz w:val="24"/>
          <w:szCs w:val="24"/>
          <w:lang w:eastAsia="es-MX"/>
        </w:rPr>
        <w:t xml:space="preserve"> </w:t>
      </w:r>
      <w:r w:rsidR="00B27264" w:rsidRPr="000F33B5">
        <w:rPr>
          <w:rFonts w:ascii="Arial" w:eastAsia="Times New Roman" w:hAnsi="Arial" w:cs="Arial"/>
          <w:color w:val="2E74B5" w:themeColor="accent1" w:themeShade="BF"/>
          <w:sz w:val="24"/>
          <w:szCs w:val="24"/>
          <w:lang w:eastAsia="es-MX"/>
        </w:rPr>
        <w:t xml:space="preserve">09 nueve, 10 diez, 16 dieciséis y 17 diecisiete. </w:t>
      </w:r>
    </w:p>
    <w:p w:rsidR="00AE57D9" w:rsidRPr="00412C4B" w:rsidRDefault="00AE57D9" w:rsidP="006A0C8A">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412C4B">
        <w:rPr>
          <w:rFonts w:ascii="Arial" w:eastAsia="Times New Roman" w:hAnsi="Arial" w:cs="Arial"/>
          <w:color w:val="2E74B5" w:themeColor="accent1" w:themeShade="BF"/>
          <w:sz w:val="24"/>
          <w:szCs w:val="24"/>
          <w:lang w:eastAsia="es-MX"/>
        </w:rPr>
        <w:lastRenderedPageBreak/>
        <w:t xml:space="preserve">Consecuentemente si el </w:t>
      </w:r>
      <w:r w:rsidR="00B27264" w:rsidRPr="00412C4B">
        <w:rPr>
          <w:rFonts w:ascii="Arial" w:eastAsia="Times New Roman" w:hAnsi="Arial" w:cs="Arial"/>
          <w:color w:val="2E74B5" w:themeColor="accent1" w:themeShade="BF"/>
          <w:sz w:val="24"/>
          <w:szCs w:val="24"/>
          <w:lang w:eastAsia="es-MX"/>
        </w:rPr>
        <w:t xml:space="preserve">15 quince de junio </w:t>
      </w:r>
      <w:r w:rsidRPr="00412C4B">
        <w:rPr>
          <w:rFonts w:ascii="Arial" w:eastAsia="Times New Roman" w:hAnsi="Arial" w:cs="Arial"/>
          <w:color w:val="2E74B5" w:themeColor="accent1" w:themeShade="BF"/>
          <w:sz w:val="24"/>
          <w:szCs w:val="24"/>
          <w:lang w:eastAsia="es-MX"/>
        </w:rPr>
        <w:t>de este año el recurrente interpuso el citado medio de impugnación ante esta Comisión de Transparencia,</w:t>
      </w:r>
      <w:r w:rsidR="00412C4B" w:rsidRPr="00412C4B">
        <w:rPr>
          <w:rFonts w:ascii="Arial" w:eastAsia="Times New Roman" w:hAnsi="Arial" w:cs="Arial"/>
          <w:color w:val="2E74B5" w:themeColor="accent1" w:themeShade="BF"/>
          <w:sz w:val="24"/>
          <w:szCs w:val="24"/>
          <w:lang w:eastAsia="es-MX"/>
        </w:rPr>
        <w:t xml:space="preserve"> </w:t>
      </w:r>
      <w:r w:rsidR="00412C4B" w:rsidRPr="00412C4B">
        <w:rPr>
          <w:rFonts w:ascii="Arial" w:hAnsi="Arial" w:cs="Arial"/>
          <w:color w:val="2E74B5" w:themeColor="accent1" w:themeShade="BF"/>
          <w:sz w:val="24"/>
          <w:szCs w:val="24"/>
        </w:rPr>
        <w:t>mismo que quedó presentado ante la Oficialía de Partes de esta Comisión Estatal de Garantía de Acceso a la Información Pública el día 18 dieciocho del referido mes y año, esto es, al día hábil siguiente al que fue interpuesto, por haber sido interpuesto ante el sistema posterior a la hora establecida, de conformidad con el Acuerdo de Pleno S.O. CEGAIP-208/2014 emitido en Sesión Ordinaria de 15 de enero de 2018 dos mil dieciocho,</w:t>
      </w:r>
      <w:r w:rsidRPr="00412C4B">
        <w:rPr>
          <w:rFonts w:ascii="Arial" w:eastAsia="Times New Roman" w:hAnsi="Arial" w:cs="Arial"/>
          <w:color w:val="2E74B5" w:themeColor="accent1" w:themeShade="BF"/>
          <w:sz w:val="24"/>
          <w:szCs w:val="24"/>
          <w:lang w:eastAsia="es-MX"/>
        </w:rPr>
        <w:t xml:space="preserve"> resulta claro que es oportuna su presentación.  </w:t>
      </w:r>
    </w:p>
    <w:p w:rsidR="00AE57D9" w:rsidRPr="000F33B5" w:rsidRDefault="00AE57D9" w:rsidP="000F33B5">
      <w:pPr>
        <w:pStyle w:val="corte4fondo"/>
        <w:spacing w:line="276" w:lineRule="auto"/>
        <w:rPr>
          <w:rFonts w:cs="Arial"/>
          <w:color w:val="2E74B5" w:themeColor="accent1" w:themeShade="BF"/>
          <w:sz w:val="24"/>
          <w:szCs w:val="24"/>
        </w:rPr>
      </w:pPr>
    </w:p>
    <w:p w:rsidR="00AE57D9" w:rsidRDefault="00404D7A" w:rsidP="000F33B5">
      <w:pPr>
        <w:pStyle w:val="corte4fondo"/>
        <w:spacing w:line="276" w:lineRule="auto"/>
        <w:rPr>
          <w:rFonts w:cs="Arial"/>
          <w:color w:val="2E74B5" w:themeColor="accent1" w:themeShade="BF"/>
          <w:sz w:val="24"/>
          <w:szCs w:val="24"/>
        </w:rPr>
      </w:pPr>
      <w:r w:rsidRPr="000F33B5">
        <w:rPr>
          <w:rFonts w:cs="Arial"/>
          <w:b/>
          <w:color w:val="2E74B5" w:themeColor="accent1" w:themeShade="BF"/>
          <w:sz w:val="24"/>
          <w:szCs w:val="24"/>
        </w:rPr>
        <w:t>CUARTO.</w:t>
      </w:r>
      <w:r w:rsidR="00AE57D9" w:rsidRPr="000F33B5">
        <w:rPr>
          <w:rFonts w:cs="Arial"/>
          <w:b/>
          <w:color w:val="2E74B5" w:themeColor="accent1" w:themeShade="BF"/>
          <w:sz w:val="24"/>
          <w:szCs w:val="24"/>
        </w:rPr>
        <w:t xml:space="preserve"> Certeza del acto reclamado</w:t>
      </w:r>
      <w:r w:rsidR="00AE57D9" w:rsidRPr="000F33B5">
        <w:rPr>
          <w:rFonts w:cs="Arial"/>
          <w:color w:val="2E74B5" w:themeColor="accent1" w:themeShade="BF"/>
          <w:sz w:val="24"/>
          <w:szCs w:val="24"/>
        </w:rPr>
        <w:t xml:space="preserve">. </w:t>
      </w:r>
      <w:r w:rsidR="00B27264" w:rsidRPr="000F33B5">
        <w:rPr>
          <w:rFonts w:cs="Arial"/>
          <w:color w:val="2E74B5" w:themeColor="accent1" w:themeShade="BF"/>
          <w:sz w:val="24"/>
          <w:szCs w:val="24"/>
        </w:rPr>
        <w:t xml:space="preserve">Son ciertos los actos reclamados atribuidos a los </w:t>
      </w:r>
      <w:r w:rsidR="003B02A4">
        <w:rPr>
          <w:rFonts w:cs="Arial"/>
          <w:color w:val="2E74B5" w:themeColor="accent1" w:themeShade="BF"/>
          <w:sz w:val="24"/>
          <w:szCs w:val="24"/>
        </w:rPr>
        <w:t>sujetos</w:t>
      </w:r>
      <w:r w:rsidR="00B27264" w:rsidRPr="000F33B5">
        <w:rPr>
          <w:rFonts w:cs="Arial"/>
          <w:color w:val="2E74B5" w:themeColor="accent1" w:themeShade="BF"/>
          <w:sz w:val="24"/>
          <w:szCs w:val="24"/>
        </w:rPr>
        <w:t xml:space="preserve"> obligados, en virtud de que no obstante de que fueron llamados a este procedimiento y no rindieron el informe en tiempo y forma que les fue solicitado consta en autos que la respuesta materia del recurso es atribuible al </w:t>
      </w:r>
      <w:r w:rsidR="003B02A4">
        <w:rPr>
          <w:rFonts w:cs="Arial"/>
          <w:color w:val="2E74B5" w:themeColor="accent1" w:themeShade="BF"/>
          <w:sz w:val="24"/>
          <w:szCs w:val="24"/>
        </w:rPr>
        <w:t xml:space="preserve">citado Organismo </w:t>
      </w:r>
      <w:r w:rsidR="003B02A4" w:rsidRPr="003B02A4">
        <w:rPr>
          <w:rFonts w:cs="Arial"/>
          <w:color w:val="2E74B5" w:themeColor="accent1" w:themeShade="BF"/>
          <w:sz w:val="24"/>
          <w:szCs w:val="24"/>
        </w:rPr>
        <w:t>(</w:t>
      </w:r>
      <w:r w:rsidR="00B27264" w:rsidRPr="003B02A4">
        <w:rPr>
          <w:rFonts w:cs="Arial"/>
          <w:color w:val="2E74B5" w:themeColor="accent1" w:themeShade="BF"/>
          <w:sz w:val="24"/>
          <w:szCs w:val="24"/>
        </w:rPr>
        <w:t>INTERAPAS</w:t>
      </w:r>
      <w:r w:rsidR="003B02A4" w:rsidRPr="003B02A4">
        <w:rPr>
          <w:rFonts w:cs="Arial"/>
          <w:color w:val="2E74B5" w:themeColor="accent1" w:themeShade="BF"/>
          <w:sz w:val="24"/>
          <w:szCs w:val="24"/>
        </w:rPr>
        <w:t>)</w:t>
      </w:r>
      <w:r w:rsidR="00B27264" w:rsidRPr="003B02A4">
        <w:rPr>
          <w:rFonts w:cs="Arial"/>
          <w:color w:val="2E74B5" w:themeColor="accent1" w:themeShade="BF"/>
          <w:sz w:val="24"/>
          <w:szCs w:val="24"/>
        </w:rPr>
        <w:t>.</w:t>
      </w:r>
    </w:p>
    <w:p w:rsidR="00FA4546" w:rsidRDefault="00FA4546" w:rsidP="000F33B5">
      <w:pPr>
        <w:pStyle w:val="corte4fondo"/>
        <w:spacing w:line="276" w:lineRule="auto"/>
        <w:ind w:firstLine="0"/>
        <w:rPr>
          <w:rFonts w:cs="Arial"/>
          <w:b/>
          <w:color w:val="2E74B5" w:themeColor="accent1" w:themeShade="BF"/>
          <w:sz w:val="24"/>
          <w:szCs w:val="24"/>
        </w:rPr>
      </w:pPr>
    </w:p>
    <w:p w:rsidR="00AE57D9" w:rsidRPr="000F33B5" w:rsidRDefault="00B27264" w:rsidP="000F33B5">
      <w:pPr>
        <w:pStyle w:val="corte4fondo"/>
        <w:spacing w:line="276" w:lineRule="auto"/>
        <w:ind w:firstLine="0"/>
        <w:rPr>
          <w:rFonts w:cs="Arial"/>
          <w:color w:val="2E74B5" w:themeColor="accent1" w:themeShade="BF"/>
          <w:sz w:val="24"/>
          <w:szCs w:val="24"/>
        </w:rPr>
      </w:pPr>
      <w:r w:rsidRPr="000F33B5">
        <w:rPr>
          <w:rFonts w:cs="Arial"/>
          <w:b/>
          <w:color w:val="2E74B5" w:themeColor="accent1" w:themeShade="BF"/>
          <w:sz w:val="24"/>
          <w:szCs w:val="24"/>
        </w:rPr>
        <w:tab/>
        <w:t>QUINTO.</w:t>
      </w:r>
      <w:r w:rsidR="00AE57D9" w:rsidRPr="000F33B5">
        <w:rPr>
          <w:rFonts w:cs="Arial"/>
          <w:color w:val="2E74B5" w:themeColor="accent1" w:themeShade="BF"/>
          <w:sz w:val="24"/>
          <w:szCs w:val="24"/>
        </w:rPr>
        <w:t xml:space="preserve"> </w:t>
      </w:r>
      <w:r w:rsidR="00AE57D9" w:rsidRPr="000F33B5">
        <w:rPr>
          <w:rFonts w:cs="Arial"/>
          <w:b/>
          <w:color w:val="2E74B5" w:themeColor="accent1" w:themeShade="BF"/>
          <w:sz w:val="24"/>
          <w:szCs w:val="24"/>
        </w:rPr>
        <w:t xml:space="preserve">Causales de improcedencia. </w:t>
      </w:r>
      <w:r w:rsidR="00AE57D9" w:rsidRPr="000F33B5">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AE57D9" w:rsidRPr="000F33B5" w:rsidRDefault="00AE57D9" w:rsidP="000F33B5">
      <w:pPr>
        <w:spacing w:after="0" w:line="276" w:lineRule="auto"/>
        <w:jc w:val="both"/>
        <w:rPr>
          <w:rFonts w:ascii="Arial" w:eastAsia="Times New Roman" w:hAnsi="Arial" w:cs="Arial"/>
          <w:b/>
          <w:color w:val="2E74B5" w:themeColor="accent1" w:themeShade="BF"/>
          <w:sz w:val="24"/>
          <w:szCs w:val="24"/>
          <w:lang w:eastAsia="es-MX"/>
        </w:rPr>
      </w:pPr>
    </w:p>
    <w:p w:rsidR="00AE57D9" w:rsidRPr="000F33B5" w:rsidRDefault="00B27264" w:rsidP="000F33B5">
      <w:pPr>
        <w:pStyle w:val="corte4fondo"/>
        <w:spacing w:line="276" w:lineRule="auto"/>
        <w:rPr>
          <w:rFonts w:cs="Arial"/>
          <w:color w:val="2E74B5" w:themeColor="accent1" w:themeShade="BF"/>
          <w:sz w:val="24"/>
          <w:szCs w:val="24"/>
        </w:rPr>
      </w:pPr>
      <w:r w:rsidRPr="000F33B5">
        <w:rPr>
          <w:rFonts w:cs="Arial"/>
          <w:b/>
          <w:color w:val="2E74B5" w:themeColor="accent1" w:themeShade="BF"/>
          <w:sz w:val="24"/>
          <w:szCs w:val="24"/>
        </w:rPr>
        <w:t>SEXTO</w:t>
      </w:r>
      <w:r w:rsidR="00AE57D9" w:rsidRPr="000F33B5">
        <w:rPr>
          <w:rFonts w:cs="Arial"/>
          <w:b/>
          <w:color w:val="2E74B5" w:themeColor="accent1" w:themeShade="BF"/>
          <w:sz w:val="24"/>
          <w:szCs w:val="24"/>
        </w:rPr>
        <w:t>. Estudio de los agravios</w:t>
      </w:r>
      <w:r w:rsidR="00AE57D9" w:rsidRPr="000F33B5">
        <w:rPr>
          <w:rFonts w:cs="Arial"/>
          <w:color w:val="2E74B5" w:themeColor="accent1" w:themeShade="BF"/>
          <w:sz w:val="24"/>
          <w:szCs w:val="24"/>
        </w:rPr>
        <w:t xml:space="preserve">.  </w:t>
      </w:r>
    </w:p>
    <w:p w:rsidR="00AE57D9" w:rsidRPr="000F33B5" w:rsidRDefault="00AE57D9" w:rsidP="000F33B5">
      <w:pPr>
        <w:pStyle w:val="corte4fondo"/>
        <w:spacing w:line="276" w:lineRule="auto"/>
        <w:rPr>
          <w:rFonts w:cs="Arial"/>
          <w:color w:val="2E74B5" w:themeColor="accent1" w:themeShade="BF"/>
          <w:sz w:val="24"/>
          <w:szCs w:val="24"/>
        </w:rPr>
      </w:pPr>
    </w:p>
    <w:p w:rsidR="00AE57D9" w:rsidRPr="000F33B5" w:rsidRDefault="00AE57D9" w:rsidP="000F33B5">
      <w:pPr>
        <w:pStyle w:val="corte4fondo"/>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ab/>
      </w:r>
      <w:r w:rsidR="000F33B5" w:rsidRPr="000F33B5">
        <w:rPr>
          <w:rFonts w:cs="Arial"/>
          <w:b/>
          <w:color w:val="2E74B5" w:themeColor="accent1" w:themeShade="BF"/>
          <w:sz w:val="24"/>
          <w:szCs w:val="24"/>
        </w:rPr>
        <w:t>6</w:t>
      </w:r>
      <w:r w:rsidRPr="000F33B5">
        <w:rPr>
          <w:rFonts w:cs="Arial"/>
          <w:b/>
          <w:color w:val="2E74B5" w:themeColor="accent1" w:themeShade="BF"/>
          <w:sz w:val="24"/>
          <w:szCs w:val="24"/>
        </w:rPr>
        <w:t>.1. Agravios.</w:t>
      </w:r>
      <w:r w:rsidRPr="000F33B5">
        <w:rPr>
          <w:rFonts w:cs="Arial"/>
          <w:color w:val="2E74B5" w:themeColor="accent1" w:themeShade="BF"/>
          <w:sz w:val="24"/>
          <w:szCs w:val="24"/>
        </w:rPr>
        <w:t xml:space="preserve"> El recurrente expresó como agravios:</w:t>
      </w:r>
    </w:p>
    <w:p w:rsidR="00AE57D9" w:rsidRPr="000F33B5" w:rsidRDefault="00AE57D9" w:rsidP="000F33B5">
      <w:pPr>
        <w:pStyle w:val="corte4fondo"/>
        <w:spacing w:line="276" w:lineRule="auto"/>
        <w:rPr>
          <w:rFonts w:cs="Arial"/>
          <w:color w:val="2E74B5" w:themeColor="accent1" w:themeShade="BF"/>
          <w:sz w:val="24"/>
          <w:szCs w:val="24"/>
        </w:rPr>
      </w:pPr>
    </w:p>
    <w:p w:rsidR="00AE57D9" w:rsidRPr="000F33B5" w:rsidRDefault="00AE57D9" w:rsidP="000F33B5">
      <w:pPr>
        <w:pStyle w:val="corte4fondo"/>
        <w:spacing w:line="276" w:lineRule="auto"/>
        <w:ind w:left="851"/>
        <w:rPr>
          <w:rFonts w:cs="Arial"/>
          <w:i/>
          <w:color w:val="2E74B5" w:themeColor="accent1" w:themeShade="BF"/>
          <w:sz w:val="20"/>
        </w:rPr>
      </w:pPr>
      <w:r w:rsidRPr="000F33B5">
        <w:rPr>
          <w:rFonts w:cs="Arial"/>
          <w:i/>
          <w:color w:val="2E74B5" w:themeColor="accent1" w:themeShade="BF"/>
          <w:sz w:val="20"/>
        </w:rPr>
        <w:t>“…</w:t>
      </w:r>
      <w:r w:rsidR="00B27264" w:rsidRPr="000F33B5">
        <w:rPr>
          <w:rFonts w:cs="Arial"/>
          <w:i/>
          <w:color w:val="2E74B5" w:themeColor="accent1" w:themeShade="BF"/>
          <w:sz w:val="20"/>
        </w:rPr>
        <w:t xml:space="preserve">Venció plazo y sin respuesta de </w:t>
      </w:r>
      <w:proofErr w:type="spellStart"/>
      <w:r w:rsidR="00B27264" w:rsidRPr="000F33B5">
        <w:rPr>
          <w:rFonts w:cs="Arial"/>
          <w:i/>
          <w:color w:val="2E74B5" w:themeColor="accent1" w:themeShade="BF"/>
          <w:sz w:val="20"/>
        </w:rPr>
        <w:t>Interapas</w:t>
      </w:r>
      <w:proofErr w:type="spellEnd"/>
      <w:r w:rsidRPr="000F33B5">
        <w:rPr>
          <w:rFonts w:cs="Arial"/>
          <w:i/>
          <w:color w:val="2E74B5" w:themeColor="accent1" w:themeShade="BF"/>
          <w:sz w:val="20"/>
        </w:rPr>
        <w:t>…”</w:t>
      </w:r>
    </w:p>
    <w:p w:rsidR="00AE57D9" w:rsidRPr="000F33B5" w:rsidRDefault="00AE57D9" w:rsidP="000F33B5">
      <w:pPr>
        <w:pStyle w:val="corte4fondo"/>
        <w:tabs>
          <w:tab w:val="left" w:pos="567"/>
        </w:tabs>
        <w:spacing w:line="276" w:lineRule="auto"/>
        <w:rPr>
          <w:rFonts w:cs="Arial"/>
          <w:color w:val="2E74B5" w:themeColor="accent1" w:themeShade="BF"/>
          <w:sz w:val="24"/>
          <w:szCs w:val="24"/>
        </w:rPr>
      </w:pPr>
    </w:p>
    <w:p w:rsidR="00591E25" w:rsidRPr="000F33B5" w:rsidRDefault="000F33B5" w:rsidP="000F33B5">
      <w:pPr>
        <w:pStyle w:val="corte4fondo"/>
        <w:spacing w:line="276" w:lineRule="auto"/>
        <w:ind w:left="851" w:firstLine="0"/>
        <w:rPr>
          <w:rFonts w:cs="Arial"/>
          <w:color w:val="2E74B5" w:themeColor="accent1" w:themeShade="BF"/>
          <w:sz w:val="24"/>
          <w:szCs w:val="24"/>
        </w:rPr>
      </w:pPr>
      <w:r w:rsidRPr="000F33B5">
        <w:rPr>
          <w:rFonts w:cs="Arial"/>
          <w:b/>
          <w:color w:val="2E74B5" w:themeColor="accent1" w:themeShade="BF"/>
          <w:sz w:val="24"/>
          <w:szCs w:val="24"/>
        </w:rPr>
        <w:t>6</w:t>
      </w:r>
      <w:r w:rsidR="00591E25" w:rsidRPr="000F33B5">
        <w:rPr>
          <w:rFonts w:cs="Arial"/>
          <w:b/>
          <w:color w:val="2E74B5" w:themeColor="accent1" w:themeShade="BF"/>
          <w:sz w:val="24"/>
          <w:szCs w:val="24"/>
        </w:rPr>
        <w:t xml:space="preserve">.1.1. Agravio </w:t>
      </w:r>
      <w:r w:rsidR="00977E93" w:rsidRPr="000F33B5">
        <w:rPr>
          <w:rFonts w:cs="Arial"/>
          <w:b/>
          <w:color w:val="2E74B5" w:themeColor="accent1" w:themeShade="BF"/>
          <w:sz w:val="24"/>
          <w:szCs w:val="24"/>
        </w:rPr>
        <w:t>in</w:t>
      </w:r>
      <w:r w:rsidR="00591E25" w:rsidRPr="000F33B5">
        <w:rPr>
          <w:rFonts w:cs="Arial"/>
          <w:b/>
          <w:color w:val="2E74B5" w:themeColor="accent1" w:themeShade="BF"/>
          <w:sz w:val="24"/>
          <w:szCs w:val="24"/>
        </w:rPr>
        <w:t>fundado</w:t>
      </w:r>
      <w:r w:rsidR="00591E25" w:rsidRPr="000F33B5">
        <w:rPr>
          <w:rFonts w:cs="Arial"/>
          <w:color w:val="2E74B5" w:themeColor="accent1" w:themeShade="BF"/>
          <w:sz w:val="24"/>
          <w:szCs w:val="24"/>
        </w:rPr>
        <w:t>.</w:t>
      </w:r>
    </w:p>
    <w:p w:rsidR="00977E93" w:rsidRPr="000F33B5" w:rsidRDefault="00977E93" w:rsidP="000F33B5">
      <w:pPr>
        <w:pStyle w:val="corte4fondo"/>
        <w:spacing w:line="276" w:lineRule="auto"/>
        <w:ind w:left="851" w:firstLine="0"/>
        <w:rPr>
          <w:rFonts w:cs="Arial"/>
          <w:color w:val="2E74B5" w:themeColor="accent1" w:themeShade="BF"/>
          <w:sz w:val="24"/>
          <w:szCs w:val="24"/>
        </w:rPr>
      </w:pPr>
    </w:p>
    <w:p w:rsidR="00977E93" w:rsidRPr="000F33B5" w:rsidRDefault="00977E93" w:rsidP="000F33B5">
      <w:pPr>
        <w:pStyle w:val="corte4fondo"/>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 xml:space="preserve">Es infundado lo alegado por el </w:t>
      </w:r>
      <w:r w:rsidR="0027274F" w:rsidRPr="000F33B5">
        <w:rPr>
          <w:rFonts w:cs="Arial"/>
          <w:color w:val="2E74B5" w:themeColor="accent1" w:themeShade="BF"/>
          <w:sz w:val="23"/>
          <w:szCs w:val="23"/>
        </w:rPr>
        <w:t>recurrente ya</w:t>
      </w:r>
      <w:r w:rsidRPr="000F33B5">
        <w:rPr>
          <w:rFonts w:cs="Arial"/>
          <w:color w:val="2E74B5" w:themeColor="accent1" w:themeShade="BF"/>
          <w:sz w:val="24"/>
          <w:szCs w:val="24"/>
        </w:rPr>
        <w:t xml:space="preserve"> que efectivamente</w:t>
      </w:r>
      <w:r w:rsidRPr="000F33B5">
        <w:rPr>
          <w:rFonts w:cs="Arial"/>
          <w:b/>
          <w:color w:val="2E74B5" w:themeColor="accent1" w:themeShade="BF"/>
          <w:sz w:val="24"/>
          <w:szCs w:val="24"/>
        </w:rPr>
        <w:t xml:space="preserve"> </w:t>
      </w:r>
      <w:r w:rsidRPr="000F33B5">
        <w:rPr>
          <w:rFonts w:cs="Arial"/>
          <w:color w:val="2E74B5" w:themeColor="accent1" w:themeShade="BF"/>
          <w:sz w:val="24"/>
          <w:szCs w:val="24"/>
        </w:rPr>
        <w:t xml:space="preserve">no hay omisión de la autoridad de dar respuesta a su solicitud de acceso a la información pública dentro del plazo de los diez días </w:t>
      </w:r>
      <w:r w:rsidRPr="000F33B5">
        <w:rPr>
          <w:rFonts w:cs="Arial"/>
          <w:color w:val="2E74B5" w:themeColor="accent1" w:themeShade="BF"/>
          <w:sz w:val="23"/>
          <w:szCs w:val="23"/>
        </w:rPr>
        <w:t>a que se refiere el artículo 154 de la Ley de Transparencia, como se expone a continuación.</w:t>
      </w:r>
    </w:p>
    <w:p w:rsidR="00977E93" w:rsidRPr="000F33B5" w:rsidRDefault="00977E93" w:rsidP="000F33B5">
      <w:pPr>
        <w:pStyle w:val="corte4fondo"/>
        <w:tabs>
          <w:tab w:val="left" w:pos="567"/>
        </w:tabs>
        <w:spacing w:line="276" w:lineRule="auto"/>
        <w:rPr>
          <w:rFonts w:cs="Arial"/>
          <w:color w:val="2E74B5" w:themeColor="accent1" w:themeShade="BF"/>
          <w:sz w:val="23"/>
          <w:szCs w:val="23"/>
        </w:rPr>
      </w:pPr>
    </w:p>
    <w:p w:rsidR="00977E93" w:rsidRPr="000F33B5" w:rsidRDefault="00977E93" w:rsidP="000F33B5">
      <w:pPr>
        <w:pStyle w:val="corte4fondo"/>
        <w:numPr>
          <w:ilvl w:val="0"/>
          <w:numId w:val="8"/>
        </w:numPr>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El 29 veintinueve de mayo de 2018 dos mil dieciocho el solicitante de la información presentó su solicitud de acceso a la información pública ante el sujeto obligado.</w:t>
      </w:r>
    </w:p>
    <w:p w:rsidR="00977E93" w:rsidRPr="000F33B5" w:rsidRDefault="00977E93" w:rsidP="000F33B5">
      <w:pPr>
        <w:pStyle w:val="corte4fondo"/>
        <w:tabs>
          <w:tab w:val="left" w:pos="567"/>
        </w:tabs>
        <w:spacing w:line="276" w:lineRule="auto"/>
        <w:ind w:left="1429" w:firstLine="0"/>
        <w:rPr>
          <w:rFonts w:cs="Arial"/>
          <w:color w:val="2E74B5" w:themeColor="accent1" w:themeShade="BF"/>
          <w:sz w:val="23"/>
          <w:szCs w:val="23"/>
        </w:rPr>
      </w:pPr>
    </w:p>
    <w:p w:rsidR="00977E93" w:rsidRPr="000F33B5" w:rsidRDefault="00977E93" w:rsidP="000F33B5">
      <w:pPr>
        <w:pStyle w:val="corte4fondo"/>
        <w:numPr>
          <w:ilvl w:val="0"/>
          <w:numId w:val="8"/>
        </w:numPr>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Ahora, el plazo para dar respuesta por parte del sujeto obligado era de diez días, contados a partir del día siguiente de conformidad con los artículos 148 y 154</w:t>
      </w:r>
      <w:r w:rsidRPr="000F33B5">
        <w:rPr>
          <w:rStyle w:val="Refdenotaalpie"/>
          <w:rFonts w:cs="Arial"/>
          <w:color w:val="2E74B5" w:themeColor="accent1" w:themeShade="BF"/>
          <w:sz w:val="23"/>
          <w:szCs w:val="23"/>
        </w:rPr>
        <w:footnoteReference w:id="3"/>
      </w:r>
      <w:r w:rsidRPr="000F33B5">
        <w:rPr>
          <w:rFonts w:cs="Arial"/>
          <w:color w:val="2E74B5" w:themeColor="accent1" w:themeShade="BF"/>
          <w:sz w:val="23"/>
          <w:szCs w:val="23"/>
        </w:rPr>
        <w:t xml:space="preserve"> de la Ley de Transparencia.</w:t>
      </w:r>
    </w:p>
    <w:p w:rsidR="00977E93" w:rsidRPr="000F33B5" w:rsidRDefault="00977E93" w:rsidP="000F33B5">
      <w:pPr>
        <w:pStyle w:val="corte4fondo"/>
        <w:tabs>
          <w:tab w:val="left" w:pos="567"/>
        </w:tabs>
        <w:spacing w:line="276" w:lineRule="auto"/>
        <w:ind w:left="1429" w:firstLine="0"/>
        <w:rPr>
          <w:rFonts w:cs="Arial"/>
          <w:color w:val="2E74B5" w:themeColor="accent1" w:themeShade="BF"/>
          <w:sz w:val="23"/>
          <w:szCs w:val="23"/>
        </w:rPr>
      </w:pPr>
    </w:p>
    <w:p w:rsidR="00977E93" w:rsidRPr="000F33B5" w:rsidRDefault="00977E93" w:rsidP="000F33B5">
      <w:pPr>
        <w:pStyle w:val="corte4fondo"/>
        <w:numPr>
          <w:ilvl w:val="0"/>
          <w:numId w:val="8"/>
        </w:numPr>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 xml:space="preserve">Por lo tanto, el plazo de los diez días comenzó al día siguiente de presentada la solicitud, esto el día </w:t>
      </w:r>
      <w:r w:rsidR="0027274F" w:rsidRPr="000F33B5">
        <w:rPr>
          <w:rFonts w:cs="Arial"/>
          <w:b/>
          <w:color w:val="2E74B5" w:themeColor="accent1" w:themeShade="BF"/>
          <w:sz w:val="23"/>
          <w:szCs w:val="23"/>
        </w:rPr>
        <w:t xml:space="preserve">30 treinta de mayo </w:t>
      </w:r>
      <w:r w:rsidRPr="000F33B5">
        <w:rPr>
          <w:rFonts w:cs="Arial"/>
          <w:b/>
          <w:color w:val="2E74B5" w:themeColor="accent1" w:themeShade="BF"/>
          <w:sz w:val="23"/>
          <w:szCs w:val="23"/>
        </w:rPr>
        <w:t>y venció el día</w:t>
      </w:r>
      <w:r w:rsidR="0027274F" w:rsidRPr="000F33B5">
        <w:rPr>
          <w:rFonts w:cs="Arial"/>
          <w:b/>
          <w:color w:val="2E74B5" w:themeColor="accent1" w:themeShade="BF"/>
          <w:sz w:val="23"/>
          <w:szCs w:val="23"/>
        </w:rPr>
        <w:t xml:space="preserve"> 12 doce de junio</w:t>
      </w:r>
      <w:r w:rsidRPr="000F33B5">
        <w:rPr>
          <w:rFonts w:cs="Arial"/>
          <w:color w:val="2E74B5" w:themeColor="accent1" w:themeShade="BF"/>
          <w:sz w:val="23"/>
          <w:szCs w:val="23"/>
        </w:rPr>
        <w:t xml:space="preserve">, sin contar los </w:t>
      </w:r>
      <w:r w:rsidR="0027274F" w:rsidRPr="000F33B5">
        <w:rPr>
          <w:rFonts w:cs="Arial"/>
          <w:color w:val="2E74B5" w:themeColor="accent1" w:themeShade="BF"/>
          <w:sz w:val="23"/>
          <w:szCs w:val="23"/>
        </w:rPr>
        <w:t xml:space="preserve">días 02 dos, 03 tres, 09 nueve y 10 diez de junio </w:t>
      </w:r>
      <w:r w:rsidR="0007316C">
        <w:rPr>
          <w:rFonts w:cs="Arial"/>
          <w:color w:val="2E74B5" w:themeColor="accent1" w:themeShade="BF"/>
          <w:sz w:val="23"/>
          <w:szCs w:val="23"/>
        </w:rPr>
        <w:t>por ser inhábiles, t</w:t>
      </w:r>
      <w:r w:rsidRPr="000F33B5">
        <w:rPr>
          <w:rFonts w:cs="Arial"/>
          <w:color w:val="2E74B5" w:themeColor="accent1" w:themeShade="BF"/>
          <w:sz w:val="23"/>
          <w:szCs w:val="23"/>
        </w:rPr>
        <w:t>odos de este año.</w:t>
      </w:r>
    </w:p>
    <w:p w:rsidR="00977E93" w:rsidRPr="000F33B5" w:rsidRDefault="00977E93" w:rsidP="000F33B5">
      <w:pPr>
        <w:pStyle w:val="corte4fondo"/>
        <w:tabs>
          <w:tab w:val="left" w:pos="567"/>
        </w:tabs>
        <w:spacing w:line="276" w:lineRule="auto"/>
        <w:rPr>
          <w:rFonts w:cs="Arial"/>
          <w:color w:val="2E74B5" w:themeColor="accent1" w:themeShade="BF"/>
          <w:sz w:val="23"/>
          <w:szCs w:val="23"/>
        </w:rPr>
      </w:pPr>
    </w:p>
    <w:p w:rsidR="00977E93" w:rsidRPr="000F33B5" w:rsidRDefault="00977E93" w:rsidP="000F33B5">
      <w:pPr>
        <w:pStyle w:val="corte4fondo"/>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 xml:space="preserve">Es decir, que la fecha límite con la que contaba la autoridad para dar respuesta a la solicitud de acceso a la información pública desde que le fue presentada ésta, vencía el día </w:t>
      </w:r>
      <w:r w:rsidR="0027274F" w:rsidRPr="000F33B5">
        <w:rPr>
          <w:rFonts w:cs="Arial"/>
          <w:color w:val="2E74B5" w:themeColor="accent1" w:themeShade="BF"/>
          <w:sz w:val="23"/>
          <w:szCs w:val="23"/>
        </w:rPr>
        <w:t xml:space="preserve">12 doce de junio </w:t>
      </w:r>
      <w:r w:rsidRPr="000F33B5">
        <w:rPr>
          <w:rFonts w:cs="Arial"/>
          <w:color w:val="2E74B5" w:themeColor="accent1" w:themeShade="BF"/>
          <w:sz w:val="23"/>
          <w:szCs w:val="23"/>
        </w:rPr>
        <w:t>de este año.</w:t>
      </w:r>
    </w:p>
    <w:p w:rsidR="00977E93" w:rsidRPr="000F33B5" w:rsidRDefault="00977E93" w:rsidP="000F33B5">
      <w:pPr>
        <w:pStyle w:val="corte4fondo"/>
        <w:tabs>
          <w:tab w:val="left" w:pos="567"/>
        </w:tabs>
        <w:spacing w:line="276" w:lineRule="auto"/>
        <w:rPr>
          <w:rFonts w:cs="Arial"/>
          <w:color w:val="2E74B5" w:themeColor="accent1" w:themeShade="BF"/>
          <w:sz w:val="23"/>
          <w:szCs w:val="23"/>
        </w:rPr>
      </w:pPr>
    </w:p>
    <w:p w:rsidR="00977E93" w:rsidRDefault="00977E93" w:rsidP="000F33B5">
      <w:pPr>
        <w:pStyle w:val="corte4fondo"/>
        <w:spacing w:line="276" w:lineRule="auto"/>
        <w:rPr>
          <w:rFonts w:cs="Arial"/>
          <w:color w:val="2E74B5" w:themeColor="accent1" w:themeShade="BF"/>
          <w:sz w:val="24"/>
          <w:szCs w:val="24"/>
        </w:rPr>
      </w:pPr>
      <w:r w:rsidRPr="000F33B5">
        <w:rPr>
          <w:rFonts w:cs="Arial"/>
          <w:color w:val="2E74B5" w:themeColor="accent1" w:themeShade="BF"/>
          <w:sz w:val="23"/>
          <w:szCs w:val="23"/>
        </w:rPr>
        <w:t xml:space="preserve">En la especie, está demostrado </w:t>
      </w:r>
      <w:r w:rsidR="00BC1F9E">
        <w:rPr>
          <w:rFonts w:cs="Arial"/>
          <w:color w:val="2E74B5" w:themeColor="accent1" w:themeShade="BF"/>
          <w:sz w:val="23"/>
          <w:szCs w:val="23"/>
        </w:rPr>
        <w:t xml:space="preserve">en la Plataforma Nacional de Transparencia </w:t>
      </w:r>
      <w:r w:rsidRPr="000F33B5">
        <w:rPr>
          <w:rFonts w:cs="Arial"/>
          <w:color w:val="2E74B5" w:themeColor="accent1" w:themeShade="BF"/>
          <w:sz w:val="23"/>
          <w:szCs w:val="23"/>
        </w:rPr>
        <w:t xml:space="preserve">que el día </w:t>
      </w:r>
      <w:r w:rsidR="0027274F" w:rsidRPr="000F33B5">
        <w:rPr>
          <w:rFonts w:cs="Arial"/>
          <w:color w:val="2E74B5" w:themeColor="accent1" w:themeShade="BF"/>
          <w:sz w:val="23"/>
          <w:szCs w:val="23"/>
        </w:rPr>
        <w:t xml:space="preserve">01 uno de junio de 2018 dos mil dieciocho </w:t>
      </w:r>
      <w:r w:rsidRPr="000F33B5">
        <w:rPr>
          <w:rFonts w:cs="Arial"/>
          <w:color w:val="2E74B5" w:themeColor="accent1" w:themeShade="BF"/>
          <w:sz w:val="23"/>
          <w:szCs w:val="23"/>
        </w:rPr>
        <w:t xml:space="preserve">el solicitante de la información </w:t>
      </w:r>
      <w:r w:rsidR="00BC1F9E">
        <w:rPr>
          <w:rFonts w:cs="Arial"/>
          <w:color w:val="2E74B5" w:themeColor="accent1" w:themeShade="BF"/>
          <w:sz w:val="23"/>
          <w:szCs w:val="23"/>
        </w:rPr>
        <w:t>fue notificado de la respuesta</w:t>
      </w:r>
      <w:r w:rsidRPr="000F33B5">
        <w:rPr>
          <w:rFonts w:cs="Arial"/>
          <w:color w:val="2E74B5" w:themeColor="accent1" w:themeShade="BF"/>
          <w:sz w:val="23"/>
          <w:szCs w:val="23"/>
        </w:rPr>
        <w:t xml:space="preserve">, esto es, respuesta que fue notificada </w:t>
      </w:r>
      <w:r w:rsidRPr="000F33B5">
        <w:rPr>
          <w:rFonts w:cs="Arial"/>
          <w:b/>
          <w:color w:val="2E74B5" w:themeColor="accent1" w:themeShade="BF"/>
          <w:sz w:val="23"/>
          <w:szCs w:val="23"/>
        </w:rPr>
        <w:t>dentro del plazo de los diez días que tenía para hacerlo</w:t>
      </w:r>
      <w:r w:rsidRPr="000F33B5">
        <w:rPr>
          <w:rFonts w:cs="Arial"/>
          <w:color w:val="2E74B5" w:themeColor="accent1" w:themeShade="BF"/>
          <w:sz w:val="23"/>
          <w:szCs w:val="23"/>
        </w:rPr>
        <w:t>, es por ello que contrario a lo alegado por lo recurrente en el presente asunto no procede la aplicación del principio de afirmativa ficta, puesto que la autoridad cumplió con la obligación de dar respuesta en tiempo –independientemente del sentido de la respuesta, ya que</w:t>
      </w:r>
      <w:r w:rsidRPr="000F33B5">
        <w:rPr>
          <w:rFonts w:cs="Arial"/>
          <w:color w:val="2E74B5" w:themeColor="accent1" w:themeShade="BF"/>
          <w:sz w:val="24"/>
          <w:szCs w:val="24"/>
        </w:rPr>
        <w:t xml:space="preserve"> ésta es motivo de agravio y consecuentemente de estudio– y, por tal razón el agravio donde la</w:t>
      </w:r>
      <w:r w:rsidR="0027274F" w:rsidRPr="000F33B5">
        <w:rPr>
          <w:rFonts w:cs="Arial"/>
          <w:color w:val="2E74B5" w:themeColor="accent1" w:themeShade="BF"/>
          <w:sz w:val="24"/>
          <w:szCs w:val="24"/>
        </w:rPr>
        <w:t xml:space="preserve"> parte</w:t>
      </w:r>
      <w:r w:rsidRPr="000F33B5">
        <w:rPr>
          <w:rFonts w:cs="Arial"/>
          <w:color w:val="2E74B5" w:themeColor="accent1" w:themeShade="BF"/>
          <w:sz w:val="24"/>
          <w:szCs w:val="24"/>
        </w:rPr>
        <w:t xml:space="preserve"> recurrente reclama la</w:t>
      </w:r>
      <w:r w:rsidR="0027274F" w:rsidRPr="000F33B5">
        <w:rPr>
          <w:rFonts w:cs="Arial"/>
          <w:color w:val="2E74B5" w:themeColor="accent1" w:themeShade="BF"/>
          <w:sz w:val="24"/>
          <w:szCs w:val="24"/>
        </w:rPr>
        <w:t xml:space="preserve"> falta de respuesta, resulta</w:t>
      </w:r>
      <w:r w:rsidRPr="000F33B5">
        <w:rPr>
          <w:rFonts w:cs="Arial"/>
          <w:color w:val="2E74B5" w:themeColor="accent1" w:themeShade="BF"/>
          <w:sz w:val="24"/>
          <w:szCs w:val="24"/>
        </w:rPr>
        <w:t xml:space="preserve"> infundado.</w:t>
      </w:r>
    </w:p>
    <w:p w:rsidR="001F5663" w:rsidRPr="001F5663" w:rsidRDefault="001F5663" w:rsidP="001F5663">
      <w:pPr>
        <w:pStyle w:val="Default"/>
        <w:ind w:firstLine="708"/>
        <w:jc w:val="both"/>
        <w:rPr>
          <w:bCs/>
          <w:color w:val="4F81BD"/>
        </w:rPr>
      </w:pPr>
    </w:p>
    <w:p w:rsidR="001F5663" w:rsidRPr="001F5663" w:rsidRDefault="001F5663" w:rsidP="001F5663">
      <w:pPr>
        <w:pStyle w:val="Default"/>
        <w:ind w:firstLine="708"/>
        <w:jc w:val="both"/>
        <w:rPr>
          <w:bCs/>
          <w:color w:val="4F81BD"/>
        </w:rPr>
      </w:pPr>
      <w:r w:rsidRPr="001F5663">
        <w:rPr>
          <w:bCs/>
          <w:color w:val="4F81BD"/>
        </w:rPr>
        <w:t>Para corroborar lo anterior</w:t>
      </w:r>
      <w:r>
        <w:rPr>
          <w:bCs/>
          <w:color w:val="4F81BD"/>
        </w:rPr>
        <w:t>,</w:t>
      </w:r>
      <w:r w:rsidRPr="001F5663">
        <w:rPr>
          <w:bCs/>
          <w:color w:val="4F81BD"/>
        </w:rPr>
        <w:t xml:space="preserve"> esta Comisión verificó la Pla</w:t>
      </w:r>
      <w:r>
        <w:rPr>
          <w:bCs/>
          <w:color w:val="4F81BD"/>
        </w:rPr>
        <w:t>taforma Nacional de T</w:t>
      </w:r>
      <w:r w:rsidRPr="001F5663">
        <w:rPr>
          <w:bCs/>
          <w:color w:val="4F81BD"/>
        </w:rPr>
        <w:t>ransparencia y advirtió lo siguiente:</w:t>
      </w:r>
    </w:p>
    <w:p w:rsidR="00FA4546" w:rsidRPr="000F33B5" w:rsidRDefault="00FA4546" w:rsidP="000F33B5">
      <w:pPr>
        <w:pStyle w:val="corte4fondo"/>
        <w:spacing w:line="276" w:lineRule="auto"/>
        <w:rPr>
          <w:rFonts w:cs="Arial"/>
          <w:color w:val="2E74B5" w:themeColor="accent1" w:themeShade="BF"/>
          <w:sz w:val="24"/>
          <w:szCs w:val="24"/>
        </w:rPr>
      </w:pPr>
    </w:p>
    <w:p w:rsidR="00591E25" w:rsidRDefault="00FA4546" w:rsidP="00FA4546">
      <w:pPr>
        <w:pStyle w:val="corte4fondo"/>
        <w:tabs>
          <w:tab w:val="left" w:pos="567"/>
        </w:tabs>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07685" cy="14630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58054" cy="1476181"/>
                    </a:xfrm>
                    <a:prstGeom prst="rect">
                      <a:avLst/>
                    </a:prstGeom>
                    <a:noFill/>
                    <a:ln>
                      <a:noFill/>
                    </a:ln>
                  </pic:spPr>
                </pic:pic>
              </a:graphicData>
            </a:graphic>
          </wp:inline>
        </w:drawing>
      </w:r>
    </w:p>
    <w:p w:rsidR="00FA4546" w:rsidRDefault="00FA4546" w:rsidP="00FA4546">
      <w:pPr>
        <w:pStyle w:val="corte4fondo"/>
        <w:tabs>
          <w:tab w:val="left" w:pos="567"/>
        </w:tabs>
        <w:spacing w:line="276" w:lineRule="auto"/>
        <w:ind w:firstLine="0"/>
        <w:rPr>
          <w:rFonts w:cs="Arial"/>
          <w:color w:val="2E74B5" w:themeColor="accent1" w:themeShade="BF"/>
          <w:sz w:val="24"/>
          <w:szCs w:val="24"/>
        </w:rPr>
      </w:pPr>
    </w:p>
    <w:p w:rsidR="00FA4546" w:rsidRPr="000F33B5" w:rsidRDefault="00FA4546" w:rsidP="00FA4546">
      <w:pPr>
        <w:pStyle w:val="corte4fondo"/>
        <w:tabs>
          <w:tab w:val="left" w:pos="567"/>
        </w:tabs>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00514" cy="1441095"/>
            <wp:effectExtent l="0" t="0" r="635"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49013" cy="1453574"/>
                    </a:xfrm>
                    <a:prstGeom prst="rect">
                      <a:avLst/>
                    </a:prstGeom>
                    <a:noFill/>
                    <a:ln>
                      <a:noFill/>
                    </a:ln>
                  </pic:spPr>
                </pic:pic>
              </a:graphicData>
            </a:graphic>
          </wp:inline>
        </w:drawing>
      </w:r>
    </w:p>
    <w:p w:rsidR="00FA4546" w:rsidRDefault="00FA4546" w:rsidP="000F33B5">
      <w:pPr>
        <w:pStyle w:val="corte4fondo"/>
        <w:spacing w:line="276" w:lineRule="auto"/>
        <w:rPr>
          <w:b/>
          <w:color w:val="2E74B5" w:themeColor="accent1" w:themeShade="BF"/>
          <w:sz w:val="23"/>
          <w:szCs w:val="23"/>
        </w:rPr>
      </w:pPr>
    </w:p>
    <w:p w:rsidR="00170B03" w:rsidRPr="000F33B5" w:rsidRDefault="000F33B5" w:rsidP="000F33B5">
      <w:pPr>
        <w:pStyle w:val="corte4fondo"/>
        <w:spacing w:line="276" w:lineRule="auto"/>
        <w:rPr>
          <w:b/>
          <w:color w:val="2E74B5" w:themeColor="accent1" w:themeShade="BF"/>
          <w:sz w:val="23"/>
          <w:szCs w:val="23"/>
        </w:rPr>
      </w:pPr>
      <w:r w:rsidRPr="000F33B5">
        <w:rPr>
          <w:b/>
          <w:color w:val="2E74B5" w:themeColor="accent1" w:themeShade="BF"/>
          <w:sz w:val="23"/>
          <w:szCs w:val="23"/>
        </w:rPr>
        <w:t>6</w:t>
      </w:r>
      <w:r w:rsidR="00170B03" w:rsidRPr="000F33B5">
        <w:rPr>
          <w:b/>
          <w:color w:val="2E74B5" w:themeColor="accent1" w:themeShade="BF"/>
          <w:sz w:val="23"/>
          <w:szCs w:val="23"/>
        </w:rPr>
        <w:t xml:space="preserve">.1.2. </w:t>
      </w:r>
      <w:r w:rsidR="00170B03" w:rsidRPr="000F33B5">
        <w:rPr>
          <w:rFonts w:cs="Arial"/>
          <w:b/>
          <w:color w:val="2E74B5" w:themeColor="accent1" w:themeShade="BF"/>
          <w:sz w:val="23"/>
          <w:szCs w:val="23"/>
        </w:rPr>
        <w:t>Suplencia.</w:t>
      </w:r>
    </w:p>
    <w:p w:rsidR="00170B03" w:rsidRPr="000F33B5" w:rsidRDefault="00170B03" w:rsidP="000F33B5">
      <w:pPr>
        <w:pStyle w:val="corte4fondo"/>
        <w:tabs>
          <w:tab w:val="left" w:pos="567"/>
        </w:tabs>
        <w:spacing w:line="276" w:lineRule="auto"/>
        <w:rPr>
          <w:rFonts w:cs="Arial"/>
          <w:b/>
          <w:color w:val="2E74B5" w:themeColor="accent1" w:themeShade="BF"/>
          <w:sz w:val="23"/>
          <w:szCs w:val="23"/>
        </w:rPr>
      </w:pPr>
    </w:p>
    <w:p w:rsidR="00170B03" w:rsidRPr="000F33B5" w:rsidRDefault="00170B03" w:rsidP="000F33B5">
      <w:pPr>
        <w:pStyle w:val="corte4fondo"/>
        <w:tabs>
          <w:tab w:val="left" w:pos="567"/>
        </w:tabs>
        <w:spacing w:line="276" w:lineRule="auto"/>
        <w:rPr>
          <w:rFonts w:cs="Arial"/>
          <w:color w:val="2E74B5" w:themeColor="accent1" w:themeShade="BF"/>
          <w:sz w:val="24"/>
          <w:szCs w:val="24"/>
        </w:rPr>
      </w:pPr>
      <w:r w:rsidRPr="000F33B5">
        <w:rPr>
          <w:rFonts w:cs="Arial"/>
          <w:color w:val="2E74B5" w:themeColor="accent1" w:themeShade="BF"/>
          <w:sz w:val="23"/>
          <w:szCs w:val="23"/>
        </w:rPr>
        <w:t>Por otra parte, esta Comisión de Transparencia de conformidad con el artículo 170</w:t>
      </w:r>
      <w:r w:rsidRPr="000F33B5">
        <w:rPr>
          <w:rStyle w:val="Refdenotaalpie"/>
          <w:rFonts w:cs="Arial"/>
          <w:color w:val="2E74B5" w:themeColor="accent1" w:themeShade="BF"/>
          <w:sz w:val="23"/>
          <w:szCs w:val="23"/>
        </w:rPr>
        <w:footnoteReference w:id="4"/>
      </w:r>
      <w:r w:rsidRPr="000F33B5">
        <w:rPr>
          <w:rFonts w:cs="Arial"/>
          <w:color w:val="2E74B5" w:themeColor="accent1" w:themeShade="BF"/>
          <w:sz w:val="23"/>
          <w:szCs w:val="23"/>
        </w:rPr>
        <w:t xml:space="preserve">, segundo párrafo, de la Ley de Transparencia suple la deficiencia de la queja de </w:t>
      </w:r>
      <w:r w:rsidRPr="000F33B5">
        <w:rPr>
          <w:rFonts w:cs="Arial"/>
          <w:color w:val="2E74B5" w:themeColor="accent1" w:themeShade="BF"/>
          <w:sz w:val="23"/>
          <w:szCs w:val="23"/>
        </w:rPr>
        <w:lastRenderedPageBreak/>
        <w:t xml:space="preserve">la recurrente. Esto es que, al existir un motivo de inconformidad por parte del recurrente esta Comisión de Transparencia </w:t>
      </w:r>
      <w:r w:rsidRPr="000F33B5">
        <w:rPr>
          <w:rFonts w:cs="Arial"/>
          <w:b/>
          <w:color w:val="2E74B5" w:themeColor="accent1" w:themeShade="BF"/>
          <w:sz w:val="23"/>
          <w:szCs w:val="23"/>
        </w:rPr>
        <w:t xml:space="preserve">en suplencia </w:t>
      </w:r>
      <w:r w:rsidRPr="000F33B5">
        <w:rPr>
          <w:rFonts w:cs="Arial"/>
          <w:color w:val="2E74B5" w:themeColor="accent1" w:themeShade="BF"/>
          <w:sz w:val="23"/>
          <w:szCs w:val="23"/>
        </w:rPr>
        <w:t xml:space="preserve">de la deficiencia de la inconforme en cuanto a la entrega de la información, ya que </w:t>
      </w:r>
      <w:r w:rsidRPr="000F33B5">
        <w:rPr>
          <w:rFonts w:cs="Arial"/>
          <w:color w:val="2E74B5" w:themeColor="accent1" w:themeShade="BF"/>
          <w:sz w:val="24"/>
          <w:szCs w:val="24"/>
        </w:rPr>
        <w:t>es necesario precisar que la autoridad no negó la información por no poseerla, sino en todo caso, la esencia del motivo de inconformidad es por la modalidad, esto es, por la puesta a disposición de la información diferente a como la solicitó, o sea, que si el solicitante pidió la información vía electrónica y a través del sistema de Plataforma Nacional de Transparencia, entonces así se lo debió de entregar la autoridad.</w:t>
      </w:r>
    </w:p>
    <w:p w:rsidR="00170B03" w:rsidRPr="000F33B5" w:rsidRDefault="00170B03" w:rsidP="000F33B5">
      <w:pPr>
        <w:pStyle w:val="corte4fondo"/>
        <w:spacing w:line="276" w:lineRule="auto"/>
        <w:ind w:firstLine="0"/>
        <w:rPr>
          <w:rFonts w:cs="Arial"/>
          <w:color w:val="2E74B5" w:themeColor="accent1" w:themeShade="BF"/>
          <w:sz w:val="23"/>
          <w:szCs w:val="23"/>
        </w:rPr>
      </w:pPr>
    </w:p>
    <w:p w:rsidR="00170B03" w:rsidRPr="000F33B5" w:rsidRDefault="00170B03" w:rsidP="000F33B5">
      <w:pPr>
        <w:pStyle w:val="corte4fondo"/>
        <w:spacing w:line="276" w:lineRule="auto"/>
        <w:ind w:firstLine="0"/>
        <w:rPr>
          <w:rFonts w:cs="Arial"/>
          <w:color w:val="2E74B5" w:themeColor="accent1" w:themeShade="BF"/>
          <w:sz w:val="23"/>
          <w:szCs w:val="23"/>
        </w:rPr>
      </w:pPr>
      <w:r w:rsidRPr="000F33B5">
        <w:rPr>
          <w:rFonts w:cs="Arial"/>
          <w:color w:val="2E74B5" w:themeColor="accent1" w:themeShade="BF"/>
          <w:sz w:val="23"/>
          <w:szCs w:val="23"/>
        </w:rPr>
        <w:tab/>
        <w:t>Por ello, en suplencia del agravio, esta Comisión de Transparencia analiza de la manera siguiente dicha omisión.</w:t>
      </w:r>
    </w:p>
    <w:p w:rsidR="00170B03" w:rsidRPr="000F33B5" w:rsidRDefault="00170B03" w:rsidP="000F33B5">
      <w:pPr>
        <w:pStyle w:val="corte4fondo"/>
        <w:spacing w:line="276" w:lineRule="auto"/>
        <w:ind w:firstLine="0"/>
        <w:rPr>
          <w:rFonts w:cs="Arial"/>
          <w:color w:val="2E74B5" w:themeColor="accent1" w:themeShade="BF"/>
          <w:sz w:val="23"/>
          <w:szCs w:val="23"/>
        </w:rPr>
      </w:pPr>
    </w:p>
    <w:p w:rsidR="00170B03" w:rsidRPr="000F33B5" w:rsidRDefault="00170B03" w:rsidP="000F33B5">
      <w:pPr>
        <w:pStyle w:val="corte4fondo"/>
        <w:tabs>
          <w:tab w:val="left" w:pos="567"/>
        </w:tabs>
        <w:spacing w:line="276" w:lineRule="auto"/>
        <w:rPr>
          <w:rFonts w:cs="Arial"/>
          <w:color w:val="2E74B5" w:themeColor="accent1" w:themeShade="BF"/>
          <w:sz w:val="23"/>
          <w:szCs w:val="23"/>
        </w:rPr>
      </w:pPr>
      <w:r w:rsidRPr="000F33B5">
        <w:rPr>
          <w:rFonts w:cs="Arial"/>
          <w:color w:val="2E74B5" w:themeColor="accent1" w:themeShade="BF"/>
          <w:sz w:val="23"/>
          <w:szCs w:val="23"/>
        </w:rPr>
        <w:t>Los artículos 17, 146, fracción V, primer párrafo y 155 de la Ley de Transparencia establecen que:</w:t>
      </w:r>
    </w:p>
    <w:p w:rsidR="00170B03" w:rsidRPr="000F33B5" w:rsidRDefault="00170B03" w:rsidP="000F33B5">
      <w:pPr>
        <w:pStyle w:val="corte4fondo"/>
        <w:tabs>
          <w:tab w:val="left" w:pos="567"/>
        </w:tabs>
        <w:spacing w:line="276" w:lineRule="auto"/>
        <w:rPr>
          <w:rFonts w:cs="Arial"/>
          <w:color w:val="2E74B5" w:themeColor="accent1" w:themeShade="BF"/>
          <w:sz w:val="24"/>
          <w:szCs w:val="24"/>
        </w:rPr>
      </w:pPr>
    </w:p>
    <w:p w:rsidR="00170B03" w:rsidRPr="000F33B5" w:rsidRDefault="00170B03" w:rsidP="000F33B5">
      <w:pPr>
        <w:pStyle w:val="corte4fondo"/>
        <w:tabs>
          <w:tab w:val="left" w:pos="567"/>
        </w:tabs>
        <w:spacing w:line="276" w:lineRule="auto"/>
        <w:ind w:left="567" w:firstLine="0"/>
        <w:rPr>
          <w:rFonts w:cs="Arial"/>
          <w:color w:val="2E74B5" w:themeColor="accent1" w:themeShade="BF"/>
          <w:sz w:val="24"/>
          <w:szCs w:val="24"/>
        </w:rPr>
      </w:pPr>
      <w:r w:rsidRPr="000F33B5">
        <w:rPr>
          <w:b/>
          <w:bCs/>
          <w:color w:val="2E74B5" w:themeColor="accent1" w:themeShade="BF"/>
          <w:sz w:val="20"/>
        </w:rPr>
        <w:t xml:space="preserve">ARTÍCULO 17. </w:t>
      </w:r>
      <w:r w:rsidRPr="000F33B5">
        <w:rPr>
          <w:color w:val="2E74B5" w:themeColor="accent1" w:themeShade="BF"/>
          <w:sz w:val="20"/>
        </w:rPr>
        <w:t xml:space="preserve">El ejercicio del derecho de acceso a la información es gratuito y sólo podrá requerirse el cobro correspondiente a la modalidad de reproducción y entrega solicitada. </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r w:rsidRPr="000F33B5">
        <w:rPr>
          <w:color w:val="2E74B5" w:themeColor="accent1" w:themeShade="BF"/>
          <w:sz w:val="20"/>
        </w:rPr>
        <w:t>En ningún caso los ajustes razonables que se realicen para el acceso de la información de solicitantes con discapacidad, será con costo a los mismos.</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p>
    <w:p w:rsidR="00170B03" w:rsidRPr="000F33B5" w:rsidRDefault="00170B03" w:rsidP="000F33B5">
      <w:pPr>
        <w:pStyle w:val="corte4fondo"/>
        <w:tabs>
          <w:tab w:val="left" w:pos="567"/>
        </w:tabs>
        <w:spacing w:line="276" w:lineRule="auto"/>
        <w:ind w:left="567" w:firstLine="0"/>
        <w:rPr>
          <w:color w:val="2E74B5" w:themeColor="accent1" w:themeShade="BF"/>
          <w:sz w:val="20"/>
        </w:rPr>
      </w:pPr>
      <w:r w:rsidRPr="000F33B5">
        <w:rPr>
          <w:b/>
          <w:bCs/>
          <w:color w:val="2E74B5" w:themeColor="accent1" w:themeShade="BF"/>
          <w:sz w:val="20"/>
        </w:rPr>
        <w:t xml:space="preserve">ARTÍCULO 146. </w:t>
      </w:r>
      <w:r w:rsidRPr="000F33B5">
        <w:rPr>
          <w:color w:val="2E74B5" w:themeColor="accent1" w:themeShade="BF"/>
          <w:sz w:val="20"/>
        </w:rPr>
        <w:t xml:space="preserve">Para presentar una solicitud no se podrán exigir mayores requisitos que los siguientes: </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r w:rsidRPr="000F33B5">
        <w:rPr>
          <w:bCs/>
          <w:color w:val="2E74B5" w:themeColor="accent1" w:themeShade="BF"/>
          <w:sz w:val="20"/>
        </w:rPr>
        <w:t>[…]</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r w:rsidRPr="000F33B5">
        <w:rPr>
          <w:b/>
          <w:bCs/>
          <w:color w:val="2E74B5" w:themeColor="accent1" w:themeShade="BF"/>
          <w:sz w:val="20"/>
        </w:rPr>
        <w:t xml:space="preserve">V. </w:t>
      </w:r>
      <w:r w:rsidRPr="000F33B5">
        <w:rPr>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p>
    <w:p w:rsidR="00170B03" w:rsidRPr="000F33B5" w:rsidRDefault="00170B03" w:rsidP="000F33B5">
      <w:pPr>
        <w:pStyle w:val="Default"/>
        <w:spacing w:line="276" w:lineRule="auto"/>
        <w:ind w:left="567"/>
        <w:jc w:val="both"/>
        <w:rPr>
          <w:color w:val="2E74B5" w:themeColor="accent1" w:themeShade="BF"/>
          <w:sz w:val="20"/>
          <w:szCs w:val="20"/>
        </w:rPr>
      </w:pPr>
      <w:r w:rsidRPr="000F33B5">
        <w:rPr>
          <w:b/>
          <w:bCs/>
          <w:color w:val="2E74B5" w:themeColor="accent1" w:themeShade="BF"/>
          <w:sz w:val="20"/>
          <w:szCs w:val="20"/>
        </w:rPr>
        <w:t xml:space="preserve">ARTÍCULO 155. </w:t>
      </w:r>
      <w:r w:rsidRPr="000F33B5">
        <w:rPr>
          <w:color w:val="2E74B5" w:themeColor="accent1" w:themeShade="BF"/>
          <w:sz w:val="20"/>
          <w:szCs w:val="20"/>
        </w:rPr>
        <w:t>El acceso se dará en la modalidad de entrega y, en su caso, de envío elegidos por el solicitante. Cuando la información no pueda entregarse o enviarse en la modalidad elegida, el sujeto obligado deberá ofrecer otra u otras modalidades de entrega. En cualquier caso, se deberá fundar y motivar la necesidad de ofrecer otras modalidades.</w:t>
      </w:r>
    </w:p>
    <w:p w:rsidR="00170B03" w:rsidRPr="000F33B5" w:rsidRDefault="00170B03" w:rsidP="000F33B5">
      <w:pPr>
        <w:pStyle w:val="corte4fondo"/>
        <w:tabs>
          <w:tab w:val="left" w:pos="567"/>
        </w:tabs>
        <w:spacing w:line="276" w:lineRule="auto"/>
        <w:ind w:left="567" w:firstLine="0"/>
        <w:rPr>
          <w:color w:val="2E74B5" w:themeColor="accent1" w:themeShade="BF"/>
          <w:sz w:val="20"/>
        </w:rPr>
      </w:pPr>
    </w:p>
    <w:p w:rsidR="00170B03" w:rsidRPr="000F33B5" w:rsidRDefault="00170B03" w:rsidP="000F33B5">
      <w:pPr>
        <w:pStyle w:val="corte4fondo"/>
        <w:spacing w:line="276" w:lineRule="auto"/>
        <w:ind w:firstLine="0"/>
        <w:rPr>
          <w:color w:val="2E74B5" w:themeColor="accent1" w:themeShade="BF"/>
          <w:sz w:val="23"/>
          <w:szCs w:val="23"/>
        </w:rPr>
      </w:pPr>
      <w:r w:rsidRPr="000F33B5">
        <w:rPr>
          <w:color w:val="2E74B5" w:themeColor="accent1" w:themeShade="BF"/>
          <w:sz w:val="24"/>
          <w:szCs w:val="24"/>
        </w:rPr>
        <w:tab/>
      </w:r>
      <w:r w:rsidRPr="000F33B5">
        <w:rPr>
          <w:color w:val="2E74B5" w:themeColor="accent1" w:themeShade="BF"/>
          <w:sz w:val="23"/>
          <w:szCs w:val="23"/>
        </w:rPr>
        <w:t xml:space="preserve">Así, ya se dijo que el acceso se dará en la modalidad de entrega elegido por el solicitante –y que cuando la información no pueda entregarse o enviarse en la modalidad elegida, el sujeto obligado deberá ofrecer otra u otras modalidades de entrega– y </w:t>
      </w:r>
      <w:r w:rsidR="00CE62B2" w:rsidRPr="000F33B5">
        <w:rPr>
          <w:color w:val="2E74B5" w:themeColor="accent1" w:themeShade="BF"/>
          <w:sz w:val="23"/>
          <w:szCs w:val="23"/>
        </w:rPr>
        <w:t>que, en</w:t>
      </w:r>
      <w:r w:rsidRPr="000F33B5">
        <w:rPr>
          <w:color w:val="2E74B5" w:themeColor="accent1" w:themeShade="BF"/>
          <w:sz w:val="23"/>
          <w:szCs w:val="23"/>
        </w:rPr>
        <w:t xml:space="preserve"> cualquier caso, </w:t>
      </w:r>
      <w:r w:rsidRPr="000F33B5">
        <w:rPr>
          <w:color w:val="2E74B5" w:themeColor="accent1" w:themeShade="BF"/>
          <w:sz w:val="23"/>
          <w:szCs w:val="23"/>
          <w:u w:val="single"/>
        </w:rPr>
        <w:t>se deberá fundar y motivar la necesidad de ofrecer otras modalidades</w:t>
      </w:r>
      <w:r w:rsidRPr="000F33B5">
        <w:rPr>
          <w:color w:val="2E74B5" w:themeColor="accent1" w:themeShade="BF"/>
          <w:sz w:val="23"/>
          <w:szCs w:val="23"/>
        </w:rPr>
        <w:t xml:space="preserve">. </w:t>
      </w:r>
    </w:p>
    <w:p w:rsidR="00170B03" w:rsidRPr="000F33B5" w:rsidRDefault="00170B03" w:rsidP="000F33B5">
      <w:pPr>
        <w:pStyle w:val="corte4fondo"/>
        <w:spacing w:line="276" w:lineRule="auto"/>
        <w:ind w:firstLine="0"/>
        <w:rPr>
          <w:color w:val="2E74B5" w:themeColor="accent1" w:themeShade="BF"/>
          <w:sz w:val="23"/>
          <w:szCs w:val="23"/>
        </w:rPr>
      </w:pPr>
    </w:p>
    <w:p w:rsidR="00170B03" w:rsidRPr="000F33B5" w:rsidRDefault="00170B03" w:rsidP="000F33B5">
      <w:pPr>
        <w:pStyle w:val="corte4fondo"/>
        <w:spacing w:line="276" w:lineRule="auto"/>
        <w:ind w:firstLine="0"/>
        <w:rPr>
          <w:color w:val="2E74B5" w:themeColor="accent1" w:themeShade="BF"/>
          <w:sz w:val="23"/>
          <w:szCs w:val="23"/>
        </w:rPr>
      </w:pPr>
      <w:r w:rsidRPr="000F33B5">
        <w:rPr>
          <w:color w:val="2E74B5" w:themeColor="accent1" w:themeShade="BF"/>
          <w:sz w:val="23"/>
          <w:szCs w:val="23"/>
        </w:rPr>
        <w:tab/>
      </w:r>
      <w:r w:rsidR="00CE62B2" w:rsidRPr="000F33B5">
        <w:rPr>
          <w:color w:val="2E74B5" w:themeColor="accent1" w:themeShade="BF"/>
          <w:sz w:val="23"/>
          <w:szCs w:val="23"/>
        </w:rPr>
        <w:t>Que,</w:t>
      </w:r>
      <w:r w:rsidRPr="000F33B5">
        <w:rPr>
          <w:color w:val="2E74B5" w:themeColor="accent1" w:themeShade="BF"/>
          <w:sz w:val="23"/>
          <w:szCs w:val="23"/>
        </w:rPr>
        <w:t xml:space="preserve"> por lo tanto, el ejercicio del derecho de acceso a la información es gratuito y </w:t>
      </w:r>
      <w:r w:rsidRPr="000F33B5">
        <w:rPr>
          <w:color w:val="2E74B5" w:themeColor="accent1" w:themeShade="BF"/>
          <w:sz w:val="23"/>
          <w:szCs w:val="23"/>
          <w:u w:val="single"/>
        </w:rPr>
        <w:t>sólo podrá requerirse el cobro correspondiente a la modalidad de reproducción y entrega solicitada</w:t>
      </w:r>
      <w:r w:rsidRPr="000F33B5">
        <w:rPr>
          <w:color w:val="2E74B5" w:themeColor="accent1" w:themeShade="BF"/>
          <w:sz w:val="23"/>
          <w:szCs w:val="23"/>
        </w:rPr>
        <w:t>.</w:t>
      </w:r>
    </w:p>
    <w:p w:rsidR="00170B03" w:rsidRPr="000F33B5" w:rsidRDefault="00170B03" w:rsidP="000F33B5">
      <w:pPr>
        <w:pStyle w:val="corte4fondo"/>
        <w:spacing w:line="276" w:lineRule="auto"/>
        <w:ind w:firstLine="0"/>
        <w:rPr>
          <w:rFonts w:cs="Arial"/>
          <w:color w:val="2E74B5" w:themeColor="accent1" w:themeShade="BF"/>
          <w:sz w:val="23"/>
          <w:szCs w:val="23"/>
        </w:rPr>
      </w:pPr>
      <w:r w:rsidRPr="000F33B5">
        <w:rPr>
          <w:color w:val="2E74B5" w:themeColor="accent1" w:themeShade="BF"/>
          <w:sz w:val="23"/>
          <w:szCs w:val="23"/>
        </w:rPr>
        <w:t xml:space="preserve"> </w:t>
      </w:r>
    </w:p>
    <w:p w:rsidR="00170B03" w:rsidRPr="000F33B5" w:rsidRDefault="00170B03" w:rsidP="000F33B5">
      <w:pPr>
        <w:pStyle w:val="corte4fondo"/>
        <w:tabs>
          <w:tab w:val="left" w:pos="0"/>
        </w:tabs>
        <w:spacing w:line="276" w:lineRule="auto"/>
        <w:ind w:firstLine="0"/>
        <w:rPr>
          <w:color w:val="2E74B5" w:themeColor="accent1" w:themeShade="BF"/>
          <w:sz w:val="23"/>
          <w:szCs w:val="23"/>
        </w:rPr>
      </w:pPr>
      <w:r w:rsidRPr="000F33B5">
        <w:rPr>
          <w:color w:val="2E74B5" w:themeColor="accent1" w:themeShade="BF"/>
          <w:sz w:val="23"/>
          <w:szCs w:val="23"/>
        </w:rPr>
        <w:tab/>
        <w:t xml:space="preserve">De ahí que, se reitera, para presentar una solicitud no se podrán exigir mayores requisitos, entre lo que se encuentra el de la modalidad en la que prefiere se otorgue el acceso a la información, por ello, </w:t>
      </w:r>
      <w:r w:rsidRPr="000F33B5">
        <w:rPr>
          <w:color w:val="2E74B5" w:themeColor="accent1" w:themeShade="BF"/>
          <w:sz w:val="23"/>
          <w:szCs w:val="23"/>
          <w:u w:val="single"/>
        </w:rPr>
        <w:t xml:space="preserve">la regla es que el acceso se dará en la modalidad de solicitada </w:t>
      </w:r>
      <w:r w:rsidRPr="000F33B5">
        <w:rPr>
          <w:color w:val="2E74B5" w:themeColor="accent1" w:themeShade="BF"/>
          <w:sz w:val="23"/>
          <w:szCs w:val="23"/>
        </w:rPr>
        <w:t xml:space="preserve">y, en su caso, de envío elegidos por el solicitante y, </w:t>
      </w:r>
      <w:r w:rsidRPr="000F33B5">
        <w:rPr>
          <w:color w:val="2E74B5" w:themeColor="accent1" w:themeShade="BF"/>
          <w:sz w:val="23"/>
          <w:szCs w:val="23"/>
          <w:u w:val="single"/>
        </w:rPr>
        <w:t xml:space="preserve">la excepción es cuando </w:t>
      </w:r>
      <w:r w:rsidRPr="000F33B5">
        <w:rPr>
          <w:color w:val="2E74B5" w:themeColor="accent1" w:themeShade="BF"/>
          <w:sz w:val="23"/>
          <w:szCs w:val="23"/>
          <w:u w:val="single"/>
        </w:rPr>
        <w:lastRenderedPageBreak/>
        <w:t>la información no pueda entregarse o enviarse en la modalidad elegida</w:t>
      </w:r>
      <w:r w:rsidRPr="000F33B5">
        <w:rPr>
          <w:color w:val="2E74B5" w:themeColor="accent1" w:themeShade="BF"/>
          <w:sz w:val="23"/>
          <w:szCs w:val="23"/>
        </w:rPr>
        <w:t xml:space="preserve">, por lo que el sujeto obligado deberá ofrecer otra u otras modalidades de entrega. </w:t>
      </w:r>
    </w:p>
    <w:p w:rsidR="00170B03" w:rsidRPr="000F33B5" w:rsidRDefault="00170B03" w:rsidP="000F33B5">
      <w:pPr>
        <w:pStyle w:val="corte4fondo"/>
        <w:tabs>
          <w:tab w:val="left" w:pos="567"/>
        </w:tabs>
        <w:spacing w:line="276" w:lineRule="auto"/>
        <w:rPr>
          <w:rFonts w:cs="Arial"/>
          <w:color w:val="2E74B5" w:themeColor="accent1" w:themeShade="BF"/>
          <w:sz w:val="23"/>
          <w:szCs w:val="23"/>
        </w:rPr>
      </w:pPr>
    </w:p>
    <w:p w:rsidR="00170B03" w:rsidRDefault="00170B03" w:rsidP="000F33B5">
      <w:pPr>
        <w:pStyle w:val="corte4fondo"/>
        <w:tabs>
          <w:tab w:val="left" w:pos="567"/>
        </w:tabs>
        <w:spacing w:line="276" w:lineRule="auto"/>
        <w:rPr>
          <w:color w:val="2E74B5" w:themeColor="accent1" w:themeShade="BF"/>
          <w:sz w:val="23"/>
          <w:szCs w:val="23"/>
        </w:rPr>
      </w:pPr>
      <w:r w:rsidRPr="000F33B5">
        <w:rPr>
          <w:rFonts w:cs="Arial"/>
          <w:color w:val="2E74B5" w:themeColor="accent1" w:themeShade="BF"/>
          <w:sz w:val="23"/>
          <w:szCs w:val="23"/>
        </w:rPr>
        <w:t xml:space="preserve">Sentado lo anterior, si el sujeto obligado no tiene la información en la modalidad electrónica debe </w:t>
      </w:r>
      <w:r w:rsidRPr="000F33B5">
        <w:rPr>
          <w:color w:val="2E74B5" w:themeColor="accent1" w:themeShade="BF"/>
          <w:sz w:val="23"/>
          <w:szCs w:val="23"/>
        </w:rPr>
        <w:t>atender los artículos 22, 62 y 165</w:t>
      </w:r>
      <w:r w:rsidRPr="000F33B5">
        <w:rPr>
          <w:rStyle w:val="Refdenotaalpie"/>
          <w:color w:val="2E74B5" w:themeColor="accent1" w:themeShade="BF"/>
          <w:sz w:val="23"/>
          <w:szCs w:val="23"/>
        </w:rPr>
        <w:footnoteReference w:id="5"/>
      </w:r>
      <w:r w:rsidRPr="000F33B5">
        <w:rPr>
          <w:color w:val="2E74B5" w:themeColor="accent1" w:themeShade="BF"/>
          <w:sz w:val="23"/>
          <w:szCs w:val="23"/>
        </w:rPr>
        <w:t xml:space="preserve">,  </w:t>
      </w:r>
      <w:r w:rsidRPr="000F33B5">
        <w:rPr>
          <w:rFonts w:cs="Arial"/>
          <w:color w:val="2E74B5" w:themeColor="accent1" w:themeShade="BF"/>
          <w:sz w:val="23"/>
          <w:szCs w:val="23"/>
        </w:rPr>
        <w:t xml:space="preserve">esto es, propiciar las condiciones necesarias para que el </w:t>
      </w:r>
      <w:r w:rsidRPr="000F33B5">
        <w:rPr>
          <w:color w:val="2E74B5" w:themeColor="accent1" w:themeShade="BF"/>
          <w:sz w:val="23"/>
          <w:szCs w:val="23"/>
        </w:rPr>
        <w:t xml:space="preserve">procedimiento de acceso y entrega de la información, </w:t>
      </w:r>
      <w:r w:rsidRPr="000F33B5">
        <w:rPr>
          <w:b/>
          <w:color w:val="2E74B5" w:themeColor="accent1" w:themeShade="BF"/>
          <w:sz w:val="23"/>
          <w:szCs w:val="23"/>
        </w:rPr>
        <w:t>al menos las primeras veinte hojas</w:t>
      </w:r>
      <w:r w:rsidRPr="000F33B5">
        <w:rPr>
          <w:color w:val="2E74B5" w:themeColor="accent1" w:themeShade="BF"/>
          <w:sz w:val="23"/>
          <w:szCs w:val="23"/>
        </w:rPr>
        <w:t xml:space="preserve"> </w:t>
      </w:r>
      <w:r w:rsidRPr="000F33B5">
        <w:rPr>
          <w:b/>
          <w:color w:val="2E74B5" w:themeColor="accent1" w:themeShade="BF"/>
          <w:sz w:val="23"/>
          <w:szCs w:val="23"/>
        </w:rPr>
        <w:t xml:space="preserve">sean entregadas sin costo </w:t>
      </w:r>
      <w:r w:rsidRPr="000F33B5">
        <w:rPr>
          <w:color w:val="2E74B5" w:themeColor="accent1" w:themeShade="BF"/>
          <w:sz w:val="23"/>
          <w:szCs w:val="23"/>
        </w:rPr>
        <w:t>en atención al principio de máxima publicidad, ello en virtud de que sólo en caso de que no se le pueda permitir al solicitante la información en dichos medios electrónicos.</w:t>
      </w:r>
    </w:p>
    <w:p w:rsidR="000F33B5" w:rsidRPr="000F33B5" w:rsidRDefault="000F33B5" w:rsidP="000F33B5">
      <w:pPr>
        <w:pStyle w:val="corte4fondo"/>
        <w:tabs>
          <w:tab w:val="left" w:pos="567"/>
        </w:tabs>
        <w:spacing w:line="276" w:lineRule="auto"/>
        <w:rPr>
          <w:rFonts w:cs="Arial"/>
          <w:color w:val="2E74B5" w:themeColor="accent1" w:themeShade="BF"/>
          <w:sz w:val="23"/>
          <w:szCs w:val="23"/>
        </w:rPr>
      </w:pPr>
    </w:p>
    <w:p w:rsidR="00FF0331" w:rsidRPr="000F33B5" w:rsidRDefault="00170B03" w:rsidP="000F33B5">
      <w:pPr>
        <w:pStyle w:val="corte4fondo"/>
        <w:tabs>
          <w:tab w:val="left" w:pos="0"/>
        </w:tabs>
        <w:spacing w:line="276" w:lineRule="auto"/>
        <w:ind w:firstLine="0"/>
        <w:rPr>
          <w:rFonts w:cs="Arial"/>
          <w:color w:val="2E74B5" w:themeColor="accent1" w:themeShade="BF"/>
          <w:sz w:val="24"/>
          <w:szCs w:val="24"/>
        </w:rPr>
      </w:pPr>
      <w:r w:rsidRPr="000F33B5">
        <w:rPr>
          <w:rFonts w:cs="Arial"/>
          <w:color w:val="2E74B5" w:themeColor="accent1" w:themeShade="BF"/>
          <w:sz w:val="23"/>
          <w:szCs w:val="23"/>
        </w:rPr>
        <w:tab/>
      </w:r>
      <w:r w:rsidR="006E7C73" w:rsidRPr="000F33B5">
        <w:rPr>
          <w:rFonts w:cs="Arial"/>
          <w:color w:val="2E74B5" w:themeColor="accent1" w:themeShade="BF"/>
          <w:sz w:val="24"/>
          <w:szCs w:val="24"/>
        </w:rPr>
        <w:t>En relación con lo anterior, resulta necesario establecer, que la autoridad debió proporcionar diversas opciones o modalidades de entrega, a través de una resolución debidamente fundada y motivada, exponiendo las razones suficientes que tuvo para no entregar la información tal y como le f</w:t>
      </w:r>
      <w:r w:rsidR="00FF0331" w:rsidRPr="000F33B5">
        <w:rPr>
          <w:rFonts w:cs="Arial"/>
          <w:color w:val="2E74B5" w:themeColor="accent1" w:themeShade="BF"/>
          <w:sz w:val="24"/>
          <w:szCs w:val="24"/>
        </w:rPr>
        <w:t>ue solicitada por la recurrente, ello de conformidad con el artículo 149 de la Ley de Transparencia y acceso a la Información Pública del Estado, mismo que establece:</w:t>
      </w:r>
    </w:p>
    <w:p w:rsidR="00FF0331" w:rsidRPr="000F33B5" w:rsidRDefault="00FF0331" w:rsidP="000F33B5">
      <w:pPr>
        <w:pStyle w:val="corte4fondo"/>
        <w:tabs>
          <w:tab w:val="left" w:pos="0"/>
        </w:tabs>
        <w:spacing w:line="276" w:lineRule="auto"/>
        <w:ind w:firstLine="0"/>
        <w:rPr>
          <w:rFonts w:cs="Arial"/>
          <w:b/>
          <w:color w:val="2E74B5" w:themeColor="accent1" w:themeShade="BF"/>
          <w:sz w:val="23"/>
          <w:szCs w:val="23"/>
        </w:rPr>
      </w:pPr>
    </w:p>
    <w:p w:rsidR="00FF0331" w:rsidRPr="000F33B5" w:rsidRDefault="00FF0331" w:rsidP="000F33B5">
      <w:pPr>
        <w:pStyle w:val="corte4fondo"/>
        <w:tabs>
          <w:tab w:val="left" w:pos="0"/>
        </w:tabs>
        <w:spacing w:line="276" w:lineRule="auto"/>
        <w:rPr>
          <w:rFonts w:cs="Arial"/>
          <w:i/>
          <w:color w:val="2E74B5" w:themeColor="accent1" w:themeShade="BF"/>
          <w:sz w:val="20"/>
        </w:rPr>
      </w:pPr>
      <w:r w:rsidRPr="000F33B5">
        <w:rPr>
          <w:rFonts w:cs="Arial"/>
          <w:b/>
          <w:i/>
          <w:color w:val="2E74B5" w:themeColor="accent1" w:themeShade="BF"/>
          <w:sz w:val="20"/>
        </w:rPr>
        <w:t>ARTÍCULO 149</w:t>
      </w:r>
      <w:r w:rsidRPr="000F33B5">
        <w:rPr>
          <w:rFonts w:cs="Arial"/>
          <w:i/>
          <w:color w:val="2E74B5" w:themeColor="accent1" w:themeShade="BF"/>
          <w:sz w:val="20"/>
        </w:rPr>
        <w:t xml:space="preserve">.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 clasificada. </w:t>
      </w:r>
    </w:p>
    <w:p w:rsidR="00FF0331" w:rsidRPr="000F33B5" w:rsidRDefault="00FF0331" w:rsidP="000F33B5">
      <w:pPr>
        <w:pStyle w:val="corte4fondo"/>
        <w:tabs>
          <w:tab w:val="left" w:pos="0"/>
        </w:tabs>
        <w:spacing w:line="276" w:lineRule="auto"/>
        <w:rPr>
          <w:rFonts w:cs="Arial"/>
          <w:i/>
          <w:color w:val="2E74B5" w:themeColor="accent1" w:themeShade="BF"/>
          <w:sz w:val="20"/>
        </w:rPr>
      </w:pPr>
      <w:r w:rsidRPr="000F33B5">
        <w:rPr>
          <w:rFonts w:cs="Arial"/>
          <w:i/>
          <w:color w:val="2E74B5" w:themeColor="accent1" w:themeShade="BF"/>
          <w:sz w:val="20"/>
        </w:rPr>
        <w:t xml:space="preserve"> </w:t>
      </w:r>
    </w:p>
    <w:p w:rsidR="00FF0331" w:rsidRPr="000F33B5" w:rsidRDefault="00FF0331" w:rsidP="000F33B5">
      <w:pPr>
        <w:pStyle w:val="corte4fondo"/>
        <w:tabs>
          <w:tab w:val="left" w:pos="0"/>
        </w:tabs>
        <w:spacing w:line="276" w:lineRule="auto"/>
        <w:rPr>
          <w:rFonts w:cs="Arial"/>
          <w:i/>
          <w:color w:val="2E74B5" w:themeColor="accent1" w:themeShade="BF"/>
          <w:sz w:val="20"/>
        </w:rPr>
      </w:pPr>
      <w:r w:rsidRPr="000F33B5">
        <w:rPr>
          <w:rFonts w:cs="Arial"/>
          <w:i/>
          <w:color w:val="2E74B5" w:themeColor="accent1" w:themeShade="BF"/>
          <w:sz w:val="20"/>
        </w:rPr>
        <w:t xml:space="preserve">En todo caso se facilitará su copia simple o certificada, así como su reproducción por cualquier medio disponible en las instalaciones del sujeto obligado o que, en su caso, aporte el solicitante. </w:t>
      </w:r>
    </w:p>
    <w:p w:rsidR="00FF0331" w:rsidRPr="000F33B5" w:rsidRDefault="00FF0331" w:rsidP="000F33B5">
      <w:pPr>
        <w:pStyle w:val="corte4fondo"/>
        <w:tabs>
          <w:tab w:val="left" w:pos="0"/>
        </w:tabs>
        <w:spacing w:line="276" w:lineRule="auto"/>
        <w:rPr>
          <w:rFonts w:cs="Arial"/>
          <w:color w:val="2E74B5" w:themeColor="accent1" w:themeShade="BF"/>
          <w:sz w:val="23"/>
          <w:szCs w:val="23"/>
        </w:rPr>
      </w:pPr>
    </w:p>
    <w:p w:rsidR="006E7C73" w:rsidRPr="000F33B5" w:rsidRDefault="006E7C73" w:rsidP="000F33B5">
      <w:pPr>
        <w:pStyle w:val="corte4fondo"/>
        <w:tabs>
          <w:tab w:val="left" w:pos="567"/>
        </w:tabs>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 xml:space="preserve"> </w:t>
      </w:r>
      <w:r w:rsidR="00525015" w:rsidRPr="000F33B5">
        <w:rPr>
          <w:rFonts w:cs="Arial"/>
          <w:color w:val="2E74B5" w:themeColor="accent1" w:themeShade="BF"/>
          <w:sz w:val="24"/>
          <w:szCs w:val="24"/>
        </w:rPr>
        <w:tab/>
      </w:r>
      <w:r w:rsidRPr="000F33B5">
        <w:rPr>
          <w:rFonts w:cs="Arial"/>
          <w:color w:val="2E74B5" w:themeColor="accent1" w:themeShade="BF"/>
          <w:sz w:val="24"/>
          <w:szCs w:val="24"/>
        </w:rPr>
        <w:t>En consideración de los razonamientos legales antes citados, esta Comisión de Transparencia en suplencia de la deficiencia del agravio determina que la respuesta es ilegal, por lo que los efectos de esta determinación, se expondrán más adelante.</w:t>
      </w:r>
    </w:p>
    <w:p w:rsidR="00564B02" w:rsidRPr="000F33B5" w:rsidRDefault="00564B02" w:rsidP="000F33B5">
      <w:pPr>
        <w:pStyle w:val="corte4fondo"/>
        <w:spacing w:line="276" w:lineRule="auto"/>
        <w:ind w:firstLine="0"/>
        <w:rPr>
          <w:rFonts w:cs="Arial"/>
          <w:color w:val="2E74B5" w:themeColor="accent1" w:themeShade="BF"/>
          <w:sz w:val="24"/>
          <w:szCs w:val="24"/>
        </w:rPr>
      </w:pPr>
    </w:p>
    <w:p w:rsidR="00591E25" w:rsidRPr="000F33B5" w:rsidRDefault="000F33B5" w:rsidP="000F33B5">
      <w:pPr>
        <w:pStyle w:val="corte4fondo"/>
        <w:spacing w:line="276" w:lineRule="auto"/>
        <w:ind w:firstLine="708"/>
        <w:rPr>
          <w:rFonts w:cs="Arial"/>
          <w:color w:val="2E74B5" w:themeColor="accent1" w:themeShade="BF"/>
          <w:sz w:val="24"/>
          <w:szCs w:val="24"/>
        </w:rPr>
      </w:pPr>
      <w:r w:rsidRPr="000F33B5">
        <w:rPr>
          <w:rFonts w:cs="Arial"/>
          <w:b/>
          <w:color w:val="2E74B5" w:themeColor="accent1" w:themeShade="BF"/>
          <w:sz w:val="24"/>
          <w:szCs w:val="24"/>
        </w:rPr>
        <w:t>6</w:t>
      </w:r>
      <w:r w:rsidR="00591E25" w:rsidRPr="000F33B5">
        <w:rPr>
          <w:rFonts w:cs="Arial"/>
          <w:b/>
          <w:color w:val="2E74B5" w:themeColor="accent1" w:themeShade="BF"/>
          <w:sz w:val="24"/>
          <w:szCs w:val="24"/>
        </w:rPr>
        <w:t>.2. Modalidad de entrega</w:t>
      </w:r>
      <w:r w:rsidR="00591E25" w:rsidRPr="000F33B5">
        <w:rPr>
          <w:rFonts w:cs="Arial"/>
          <w:color w:val="2E74B5" w:themeColor="accent1" w:themeShade="BF"/>
          <w:sz w:val="24"/>
          <w:szCs w:val="24"/>
        </w:rPr>
        <w:t>.</w:t>
      </w:r>
    </w:p>
    <w:p w:rsidR="00591E25" w:rsidRPr="000F33B5" w:rsidRDefault="00591E25" w:rsidP="000F33B5">
      <w:pPr>
        <w:pStyle w:val="corte4fondo"/>
        <w:spacing w:line="276" w:lineRule="auto"/>
        <w:ind w:firstLine="0"/>
        <w:rPr>
          <w:rFonts w:cs="Arial"/>
          <w:color w:val="2E74B5" w:themeColor="accent1" w:themeShade="BF"/>
          <w:sz w:val="24"/>
          <w:szCs w:val="24"/>
        </w:rPr>
      </w:pPr>
    </w:p>
    <w:p w:rsidR="00591E25" w:rsidRPr="000F33B5" w:rsidRDefault="00591E25" w:rsidP="000F33B5">
      <w:pPr>
        <w:pStyle w:val="Prrafodelista"/>
        <w:spacing w:after="0"/>
        <w:ind w:left="0"/>
        <w:jc w:val="both"/>
        <w:rPr>
          <w:rFonts w:ascii="Arial" w:hAnsi="Arial" w:cs="Arial"/>
          <w:color w:val="2E74B5" w:themeColor="accent1" w:themeShade="BF"/>
          <w:sz w:val="24"/>
          <w:szCs w:val="24"/>
        </w:rPr>
      </w:pPr>
      <w:r w:rsidRPr="000F33B5">
        <w:rPr>
          <w:rFonts w:ascii="Arial" w:hAnsi="Arial" w:cs="Arial"/>
          <w:color w:val="2E74B5" w:themeColor="accent1" w:themeShade="BF"/>
          <w:sz w:val="24"/>
          <w:szCs w:val="24"/>
        </w:rPr>
        <w:tab/>
        <w:t>Sobre este tópico los artículos 17, 146, fracción V, primer párrafo y 155, de la Ley de Transparencia establecen que:</w:t>
      </w:r>
    </w:p>
    <w:p w:rsidR="00591E25" w:rsidRPr="000F33B5" w:rsidRDefault="00591E25" w:rsidP="000F33B5">
      <w:pPr>
        <w:pStyle w:val="Prrafodelista"/>
        <w:spacing w:after="0"/>
        <w:ind w:left="0"/>
        <w:jc w:val="both"/>
        <w:rPr>
          <w:rFonts w:ascii="Arial" w:hAnsi="Arial" w:cs="Arial"/>
          <w:color w:val="2E74B5" w:themeColor="accent1" w:themeShade="BF"/>
          <w:sz w:val="24"/>
          <w:szCs w:val="24"/>
        </w:rPr>
      </w:pP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4"/>
          <w:szCs w:val="24"/>
        </w:rPr>
      </w:pPr>
      <w:r w:rsidRPr="000F33B5">
        <w:rPr>
          <w:rFonts w:cs="Arial"/>
          <w:b/>
          <w:bCs/>
          <w:i/>
          <w:color w:val="2E74B5" w:themeColor="accent1" w:themeShade="BF"/>
          <w:sz w:val="20"/>
        </w:rPr>
        <w:lastRenderedPageBreak/>
        <w:t xml:space="preserve">ARTÍCULO 17. </w:t>
      </w:r>
      <w:r w:rsidRPr="000F33B5">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i/>
          <w:color w:val="2E74B5" w:themeColor="accent1" w:themeShade="BF"/>
          <w:sz w:val="20"/>
        </w:rPr>
        <w:t>En ningún caso los ajustes razonables que se realicen para el acceso de la información de solicitantes con discapacidad, será con costo a los mismos.</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b/>
          <w:bCs/>
          <w:i/>
          <w:color w:val="2E74B5" w:themeColor="accent1" w:themeShade="BF"/>
          <w:sz w:val="20"/>
        </w:rPr>
        <w:t xml:space="preserve">ARTÍCULO 146. </w:t>
      </w:r>
      <w:r w:rsidRPr="000F33B5">
        <w:rPr>
          <w:rFonts w:cs="Arial"/>
          <w:i/>
          <w:color w:val="2E74B5" w:themeColor="accent1" w:themeShade="BF"/>
          <w:sz w:val="20"/>
        </w:rPr>
        <w:t xml:space="preserve">Para presentar una solicitud no se podrán exigir mayores requisitos que los siguientes: </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bCs/>
          <w:i/>
          <w:color w:val="2E74B5" w:themeColor="accent1" w:themeShade="BF"/>
          <w:sz w:val="20"/>
        </w:rPr>
        <w:t>[…]</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b/>
          <w:bCs/>
          <w:i/>
          <w:color w:val="2E74B5" w:themeColor="accent1" w:themeShade="BF"/>
          <w:sz w:val="20"/>
        </w:rPr>
        <w:t xml:space="preserve">V. </w:t>
      </w:r>
      <w:r w:rsidRPr="000F33B5">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b/>
          <w:i/>
          <w:color w:val="2E74B5" w:themeColor="accent1" w:themeShade="BF"/>
          <w:sz w:val="20"/>
        </w:rPr>
        <w:t>ARTÍCULO 155.</w:t>
      </w:r>
      <w:r w:rsidRPr="000F33B5">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r w:rsidRPr="000F33B5">
        <w:rPr>
          <w:rFonts w:cs="Arial"/>
          <w:i/>
          <w:color w:val="2E74B5" w:themeColor="accent1" w:themeShade="BF"/>
          <w:sz w:val="20"/>
        </w:rPr>
        <w:t>En cualquier caso, se deberá fundar y motivar la necesidad de ofrecer otras modalidades.</w:t>
      </w:r>
    </w:p>
    <w:p w:rsidR="00591E25" w:rsidRPr="000F33B5" w:rsidRDefault="00591E25" w:rsidP="000F33B5">
      <w:pPr>
        <w:pStyle w:val="corte4fondo"/>
        <w:tabs>
          <w:tab w:val="left" w:pos="567"/>
        </w:tabs>
        <w:spacing w:line="276" w:lineRule="auto"/>
        <w:ind w:left="567" w:firstLine="0"/>
        <w:rPr>
          <w:rFonts w:cs="Arial"/>
          <w:i/>
          <w:color w:val="2E74B5" w:themeColor="accent1" w:themeShade="BF"/>
          <w:sz w:val="20"/>
        </w:rPr>
      </w:pPr>
    </w:p>
    <w:p w:rsidR="00591E25" w:rsidRPr="000F33B5" w:rsidRDefault="00591E25" w:rsidP="000F33B5">
      <w:pPr>
        <w:pStyle w:val="corte4fondo"/>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591E25" w:rsidRPr="000F33B5" w:rsidRDefault="00591E25" w:rsidP="000F33B5">
      <w:pPr>
        <w:pStyle w:val="corte4fondo"/>
        <w:spacing w:line="276" w:lineRule="auto"/>
        <w:ind w:firstLine="0"/>
        <w:rPr>
          <w:rFonts w:cs="Arial"/>
          <w:color w:val="2E74B5" w:themeColor="accent1" w:themeShade="BF"/>
          <w:sz w:val="24"/>
          <w:szCs w:val="24"/>
        </w:rPr>
      </w:pPr>
    </w:p>
    <w:p w:rsidR="00591E25" w:rsidRPr="000F33B5" w:rsidRDefault="00591E25" w:rsidP="000F33B5">
      <w:pPr>
        <w:pStyle w:val="corte4fondo"/>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591E25" w:rsidRPr="000F33B5" w:rsidRDefault="00591E25" w:rsidP="000F33B5">
      <w:pPr>
        <w:pStyle w:val="corte4fondo"/>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 xml:space="preserve"> </w:t>
      </w:r>
    </w:p>
    <w:p w:rsidR="00591E25" w:rsidRPr="000F33B5" w:rsidRDefault="00591E25" w:rsidP="000F33B5">
      <w:pPr>
        <w:pStyle w:val="corte4fondo"/>
        <w:tabs>
          <w:tab w:val="left" w:pos="0"/>
        </w:tabs>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0F33B5">
        <w:rPr>
          <w:rFonts w:cs="Arial"/>
          <w:color w:val="2E74B5" w:themeColor="accent1" w:themeShade="BF"/>
          <w:sz w:val="24"/>
          <w:szCs w:val="24"/>
          <w:u w:val="single"/>
        </w:rPr>
        <w:t xml:space="preserve">la regla es que el acceso se dará en la modalidad de solicitada </w:t>
      </w:r>
      <w:r w:rsidRPr="000F33B5">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591E25" w:rsidRPr="000F33B5" w:rsidRDefault="00591E25" w:rsidP="000F33B5">
      <w:pPr>
        <w:pStyle w:val="corte4fondo"/>
        <w:tabs>
          <w:tab w:val="left" w:pos="0"/>
        </w:tabs>
        <w:spacing w:line="276" w:lineRule="auto"/>
        <w:ind w:firstLine="0"/>
        <w:rPr>
          <w:rFonts w:cs="Arial"/>
          <w:color w:val="2E74B5" w:themeColor="accent1" w:themeShade="BF"/>
          <w:sz w:val="24"/>
          <w:szCs w:val="24"/>
        </w:rPr>
      </w:pPr>
    </w:p>
    <w:p w:rsidR="00591E25" w:rsidRPr="000F33B5" w:rsidRDefault="00591E25" w:rsidP="000F33B5">
      <w:pPr>
        <w:pStyle w:val="corte4fondo"/>
        <w:tabs>
          <w:tab w:val="left" w:pos="0"/>
        </w:tabs>
        <w:spacing w:line="276" w:lineRule="auto"/>
        <w:ind w:firstLine="0"/>
        <w:rPr>
          <w:rFonts w:cs="Arial"/>
          <w:color w:val="2E74B5" w:themeColor="accent1" w:themeShade="BF"/>
          <w:sz w:val="24"/>
          <w:szCs w:val="24"/>
        </w:rPr>
      </w:pPr>
      <w:r w:rsidRPr="000F33B5">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591E25" w:rsidRPr="000F33B5" w:rsidRDefault="00591E25" w:rsidP="000F33B5">
      <w:pPr>
        <w:pStyle w:val="corte4fondo"/>
        <w:tabs>
          <w:tab w:val="left" w:pos="0"/>
        </w:tabs>
        <w:spacing w:line="276" w:lineRule="auto"/>
        <w:ind w:firstLine="0"/>
        <w:rPr>
          <w:rFonts w:cs="Arial"/>
          <w:color w:val="2E74B5" w:themeColor="accent1" w:themeShade="BF"/>
          <w:sz w:val="24"/>
          <w:szCs w:val="24"/>
        </w:rPr>
      </w:pPr>
    </w:p>
    <w:p w:rsidR="00591E25" w:rsidRPr="000F33B5" w:rsidRDefault="00591E25" w:rsidP="000F33B5">
      <w:pPr>
        <w:spacing w:after="0" w:line="276" w:lineRule="auto"/>
        <w:jc w:val="both"/>
        <w:rPr>
          <w:rFonts w:ascii="Arial" w:eastAsia="Times New Roman" w:hAnsi="Arial" w:cs="Arial"/>
          <w:color w:val="2E74B5" w:themeColor="accent1" w:themeShade="BF"/>
          <w:sz w:val="24"/>
          <w:szCs w:val="24"/>
        </w:rPr>
      </w:pPr>
      <w:r w:rsidRPr="000F33B5">
        <w:rPr>
          <w:rFonts w:ascii="Arial" w:hAnsi="Arial" w:cs="Arial"/>
          <w:color w:val="2E74B5" w:themeColor="accent1" w:themeShade="BF"/>
          <w:sz w:val="24"/>
          <w:szCs w:val="24"/>
        </w:rPr>
        <w:tab/>
        <w:t xml:space="preserve">Lo anterior, incluso encuentra sustento en </w:t>
      </w:r>
      <w:r w:rsidRPr="000F33B5">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591E25" w:rsidRPr="000F33B5" w:rsidRDefault="00591E25" w:rsidP="000F33B5">
      <w:pPr>
        <w:spacing w:after="0" w:line="276" w:lineRule="auto"/>
        <w:jc w:val="both"/>
        <w:rPr>
          <w:rFonts w:ascii="Arial" w:eastAsia="Times New Roman" w:hAnsi="Arial" w:cs="Arial"/>
          <w:color w:val="2E74B5" w:themeColor="accent1" w:themeShade="BF"/>
          <w:sz w:val="24"/>
          <w:szCs w:val="24"/>
        </w:rPr>
      </w:pPr>
    </w:p>
    <w:p w:rsidR="00591E25" w:rsidRPr="000F33B5" w:rsidRDefault="00591E25" w:rsidP="000F33B5">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0F33B5">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0F33B5">
        <w:rPr>
          <w:rFonts w:ascii="Arial" w:eastAsia="Times New Roman" w:hAnsi="Arial" w:cs="Arial"/>
          <w:color w:val="2E74B5" w:themeColor="accent1" w:themeShade="BF"/>
          <w:sz w:val="20"/>
          <w:szCs w:val="20"/>
          <w:lang w:eastAsia="es-MX"/>
        </w:rPr>
        <w:t>El ejercicio del derecho</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de acceso a la información gubernamental no se entiende</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 xml:space="preserve">de </w:t>
      </w:r>
      <w:r w:rsidRPr="000F33B5">
        <w:rPr>
          <w:rFonts w:ascii="Arial" w:eastAsia="Times New Roman" w:hAnsi="Arial" w:cs="Arial"/>
          <w:color w:val="2E74B5" w:themeColor="accent1" w:themeShade="BF"/>
          <w:sz w:val="20"/>
          <w:szCs w:val="20"/>
          <w:lang w:eastAsia="es-MX"/>
        </w:rPr>
        <w:lastRenderedPageBreak/>
        <w:t>forma abstracta y desvinculada a la forma en que los</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gobernados pueden allegarse de aquélla; destacándose que</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la modalidad de entrega de la información resulta de especial</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interés para hacer efectivo este derecho. En este sentido,</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la Comisión para la Transparencia y Acceso a la Información</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de la Suprema Corte de Justicia de la Nación (recurso de</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revisión 1/2005) determinó que el acceso a la información</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cuando esta fue la remisión por medios electrónicos,</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toda vez que el otorgamiento en una diversa puede constituir</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un obstáculo material para el ejercicio del derecho</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de acceso a la información tutelado en el artículo 6° constitucional.</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Por lo tanto, si el peticionario solicita por vía</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electrónica determinada información sin precisar la modalidad</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de su preferencia debe presumirse que la requiere</w:t>
      </w:r>
      <w:r w:rsidRPr="000F33B5">
        <w:rPr>
          <w:rFonts w:ascii="Arial" w:eastAsia="Times New Roman" w:hAnsi="Arial" w:cs="Arial"/>
          <w:b/>
          <w:bCs/>
          <w:color w:val="2E74B5" w:themeColor="accent1" w:themeShade="BF"/>
          <w:sz w:val="20"/>
          <w:szCs w:val="20"/>
          <w:lang w:eastAsia="es-MX"/>
        </w:rPr>
        <w:t xml:space="preserve"> </w:t>
      </w:r>
      <w:r w:rsidRPr="000F33B5">
        <w:rPr>
          <w:rFonts w:ascii="Arial" w:eastAsia="Times New Roman" w:hAnsi="Arial" w:cs="Arial"/>
          <w:color w:val="2E74B5" w:themeColor="accent1" w:themeShade="BF"/>
          <w:sz w:val="20"/>
          <w:szCs w:val="20"/>
          <w:lang w:eastAsia="es-MX"/>
        </w:rPr>
        <w:t>por esa misma vía.</w:t>
      </w:r>
    </w:p>
    <w:p w:rsidR="00591E25" w:rsidRPr="000F33B5" w:rsidRDefault="00591E25" w:rsidP="000F33B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591E25" w:rsidRPr="000F33B5" w:rsidRDefault="00591E25" w:rsidP="000F33B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0F33B5">
        <w:rPr>
          <w:rFonts w:ascii="Arial" w:eastAsia="Times New Roman" w:hAnsi="Arial" w:cs="Arial"/>
          <w:bCs/>
          <w:color w:val="2E74B5" w:themeColor="accent1" w:themeShade="BF"/>
          <w:sz w:val="24"/>
          <w:szCs w:val="24"/>
          <w:lang w:eastAsia="es-MX"/>
        </w:rPr>
        <w:tab/>
        <w:t>Criterio que de conformidad con el artículo 7°</w:t>
      </w:r>
      <w:r w:rsidRPr="000F33B5">
        <w:rPr>
          <w:rFonts w:ascii="Arial" w:eastAsia="Times New Roman" w:hAnsi="Arial" w:cs="Arial"/>
          <w:bCs/>
          <w:color w:val="2E74B5" w:themeColor="accent1" w:themeShade="BF"/>
          <w:sz w:val="24"/>
          <w:szCs w:val="24"/>
          <w:vertAlign w:val="superscript"/>
          <w:lang w:eastAsia="es-MX"/>
        </w:rPr>
        <w:footnoteReference w:id="6"/>
      </w:r>
      <w:r w:rsidRPr="000F33B5">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591E25" w:rsidRPr="000F33B5" w:rsidRDefault="00591E25" w:rsidP="000F33B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591E25" w:rsidRPr="000F33B5" w:rsidRDefault="000F33B5" w:rsidP="000F33B5">
      <w:pPr>
        <w:autoSpaceDE w:val="0"/>
        <w:autoSpaceDN w:val="0"/>
        <w:adjustRightInd w:val="0"/>
        <w:spacing w:after="0" w:line="276" w:lineRule="auto"/>
        <w:ind w:firstLine="708"/>
        <w:jc w:val="both"/>
        <w:rPr>
          <w:rFonts w:ascii="Arial" w:hAnsi="Arial" w:cs="Arial"/>
          <w:b/>
          <w:bCs/>
          <w:color w:val="2E74B5" w:themeColor="accent1" w:themeShade="BF"/>
          <w:sz w:val="24"/>
          <w:szCs w:val="24"/>
        </w:rPr>
      </w:pPr>
      <w:r w:rsidRPr="000F33B5">
        <w:rPr>
          <w:rFonts w:ascii="Arial" w:eastAsia="Times New Roman" w:hAnsi="Arial" w:cs="Arial"/>
          <w:b/>
          <w:bCs/>
          <w:color w:val="2E74B5" w:themeColor="accent1" w:themeShade="BF"/>
          <w:sz w:val="24"/>
          <w:szCs w:val="24"/>
          <w:lang w:eastAsia="es-MX"/>
        </w:rPr>
        <w:t>6</w:t>
      </w:r>
      <w:r w:rsidR="00591E25" w:rsidRPr="000F33B5">
        <w:rPr>
          <w:rFonts w:ascii="Arial" w:eastAsia="Times New Roman" w:hAnsi="Arial" w:cs="Arial"/>
          <w:b/>
          <w:bCs/>
          <w:color w:val="2E74B5" w:themeColor="accent1" w:themeShade="BF"/>
          <w:sz w:val="24"/>
          <w:szCs w:val="24"/>
          <w:lang w:eastAsia="es-MX"/>
        </w:rPr>
        <w:t xml:space="preserve">.3. </w:t>
      </w:r>
      <w:r w:rsidR="00591E25" w:rsidRPr="000F33B5">
        <w:rPr>
          <w:rFonts w:ascii="Arial" w:hAnsi="Arial" w:cs="Arial"/>
          <w:b/>
          <w:color w:val="2E74B5" w:themeColor="accent1" w:themeShade="BF"/>
          <w:sz w:val="24"/>
          <w:szCs w:val="24"/>
        </w:rPr>
        <w:t> </w:t>
      </w:r>
      <w:r w:rsidR="00591E25" w:rsidRPr="000F33B5">
        <w:rPr>
          <w:rFonts w:ascii="Arial" w:hAnsi="Arial" w:cs="Arial"/>
          <w:b/>
          <w:bCs/>
          <w:color w:val="2E74B5" w:themeColor="accent1" w:themeShade="BF"/>
          <w:sz w:val="24"/>
          <w:szCs w:val="24"/>
        </w:rPr>
        <w:t>RECOMENDACIÓN.</w:t>
      </w:r>
    </w:p>
    <w:p w:rsidR="00591E25" w:rsidRPr="000F33B5" w:rsidRDefault="00591E25" w:rsidP="000F33B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591E25" w:rsidRPr="000F33B5" w:rsidRDefault="00591E25" w:rsidP="000F33B5">
      <w:pPr>
        <w:pStyle w:val="xmsonormal"/>
        <w:shd w:val="clear" w:color="auto" w:fill="FFFFFF"/>
        <w:spacing w:before="0" w:beforeAutospacing="0" w:after="0" w:afterAutospacing="0" w:line="276" w:lineRule="auto"/>
        <w:ind w:firstLine="708"/>
        <w:jc w:val="both"/>
        <w:rPr>
          <w:rFonts w:ascii="Calibri" w:hAnsi="Calibri" w:cs="Calibri"/>
          <w:color w:val="2E74B5" w:themeColor="accent1" w:themeShade="BF"/>
        </w:rPr>
      </w:pPr>
      <w:r w:rsidRPr="000F33B5">
        <w:rPr>
          <w:rFonts w:ascii="Arial" w:hAnsi="Arial" w:cs="Arial"/>
          <w:color w:val="2E74B5" w:themeColor="accent1" w:themeShade="BF"/>
        </w:rPr>
        <w:t>Asimismo, en virtud de que en el presente caso se tuvo al sujeto obligado que en este caso lo es el</w:t>
      </w:r>
      <w:r w:rsidR="00525015" w:rsidRPr="000F33B5">
        <w:rPr>
          <w:rFonts w:ascii="Arial" w:hAnsi="Arial" w:cs="Arial"/>
          <w:color w:val="2E74B5" w:themeColor="accent1" w:themeShade="BF"/>
        </w:rPr>
        <w:t xml:space="preserve"> </w:t>
      </w:r>
      <w:r w:rsidR="00525015" w:rsidRPr="00CE62B2">
        <w:rPr>
          <w:rFonts w:ascii="Arial" w:eastAsia="Arial Unicode MS" w:hAnsi="Arial" w:cs="Arial"/>
          <w:color w:val="2E74B5" w:themeColor="accent1" w:themeShade="BF"/>
        </w:rPr>
        <w:t>Organismo Intermunicipal Metropolitano de Agua Potable, Alcantarillado, Saneamiento y Servicios Conexos de los Municipios de Cerro de San Pedro, San Luis Potosí y Soledad de Graciano Sánchez (INTERAPAS)</w:t>
      </w:r>
      <w:r w:rsidRPr="00CE62B2">
        <w:rPr>
          <w:rFonts w:ascii="Arial" w:hAnsi="Arial" w:cs="Arial"/>
          <w:color w:val="2E74B5" w:themeColor="accent1" w:themeShade="BF"/>
        </w:rPr>
        <w:t>,</w:t>
      </w:r>
      <w:r w:rsidRPr="000F33B5">
        <w:rPr>
          <w:rFonts w:ascii="Arial" w:hAnsi="Arial" w:cs="Arial"/>
          <w:color w:val="2E74B5" w:themeColor="accent1" w:themeShade="BF"/>
        </w:rPr>
        <w:t xml:space="preserve"> por omiso en rendir su </w:t>
      </w:r>
      <w:r w:rsidR="00525015" w:rsidRPr="000F33B5">
        <w:rPr>
          <w:rFonts w:ascii="Arial" w:hAnsi="Arial" w:cs="Arial"/>
          <w:color w:val="2E74B5" w:themeColor="accent1" w:themeShade="BF"/>
        </w:rPr>
        <w:t xml:space="preserve">informe o </w:t>
      </w:r>
      <w:r w:rsidRPr="000F33B5">
        <w:rPr>
          <w:rFonts w:ascii="Arial" w:hAnsi="Arial" w:cs="Arial"/>
          <w:color w:val="2E74B5" w:themeColor="accent1" w:themeShade="BF"/>
        </w:rPr>
        <w:t>escrito de manifestaciones ante esta Comisión previsto en la fracción II del artículo 174 de la Ley de la materia, es procedente que la suscrita Comisionada Ponente emita </w:t>
      </w:r>
      <w:r w:rsidRPr="000F33B5">
        <w:rPr>
          <w:rFonts w:ascii="Arial" w:hAnsi="Arial" w:cs="Arial"/>
          <w:b/>
          <w:bCs/>
          <w:color w:val="2E74B5" w:themeColor="accent1" w:themeShade="BF"/>
        </w:rPr>
        <w:t>RECOMENDACIÓN </w:t>
      </w:r>
      <w:r w:rsidRPr="000F33B5">
        <w:rPr>
          <w:rFonts w:ascii="Arial" w:hAnsi="Arial" w:cs="Arial"/>
          <w:color w:val="2E74B5" w:themeColor="accent1" w:themeShade="BF"/>
        </w:rPr>
        <w:t xml:space="preserve">al sujeto obligado para que, en el trámite de futuros recursos de revisión, se apegue estrictamente a los plazos establecidos en el artículo antes citado, el cual venció el </w:t>
      </w:r>
      <w:r w:rsidR="00525015" w:rsidRPr="000F33B5">
        <w:rPr>
          <w:rFonts w:ascii="Arial" w:hAnsi="Arial" w:cs="Arial"/>
          <w:color w:val="2E74B5" w:themeColor="accent1" w:themeShade="BF"/>
        </w:rPr>
        <w:t xml:space="preserve">04 cuatro de julio </w:t>
      </w:r>
      <w:r w:rsidRPr="000F33B5">
        <w:rPr>
          <w:rFonts w:ascii="Arial" w:hAnsi="Arial" w:cs="Arial"/>
          <w:color w:val="2E74B5" w:themeColor="accent1" w:themeShade="BF"/>
        </w:rPr>
        <w:t>de 2018 dos mil dieciocho. </w:t>
      </w:r>
    </w:p>
    <w:p w:rsidR="00591E25" w:rsidRPr="000F33B5" w:rsidRDefault="00591E25" w:rsidP="000F33B5">
      <w:pPr>
        <w:pStyle w:val="xmsonormal"/>
        <w:shd w:val="clear" w:color="auto" w:fill="FFFFFF"/>
        <w:spacing w:before="0" w:beforeAutospacing="0" w:after="0" w:afterAutospacing="0" w:line="276" w:lineRule="auto"/>
        <w:jc w:val="both"/>
        <w:rPr>
          <w:rFonts w:ascii="Calibri" w:hAnsi="Calibri" w:cs="Calibri"/>
          <w:color w:val="2E74B5" w:themeColor="accent1" w:themeShade="BF"/>
        </w:rPr>
      </w:pPr>
    </w:p>
    <w:p w:rsidR="00591E25" w:rsidRDefault="000F33B5" w:rsidP="000F33B5">
      <w:pPr>
        <w:autoSpaceDE w:val="0"/>
        <w:autoSpaceDN w:val="0"/>
        <w:adjustRightInd w:val="0"/>
        <w:spacing w:after="0" w:line="276" w:lineRule="auto"/>
        <w:ind w:firstLine="708"/>
        <w:jc w:val="both"/>
        <w:rPr>
          <w:rFonts w:ascii="Arial" w:hAnsi="Arial" w:cs="Arial"/>
          <w:b/>
          <w:color w:val="2E74B5" w:themeColor="accent1" w:themeShade="BF"/>
          <w:sz w:val="24"/>
          <w:szCs w:val="24"/>
        </w:rPr>
      </w:pPr>
      <w:r w:rsidRPr="000F33B5">
        <w:rPr>
          <w:rFonts w:ascii="Arial" w:hAnsi="Arial" w:cs="Arial"/>
          <w:b/>
          <w:color w:val="2E74B5" w:themeColor="accent1" w:themeShade="BF"/>
          <w:sz w:val="24"/>
          <w:szCs w:val="24"/>
        </w:rPr>
        <w:t>6</w:t>
      </w:r>
      <w:r w:rsidR="00591E25" w:rsidRPr="000F33B5">
        <w:rPr>
          <w:rFonts w:ascii="Arial" w:hAnsi="Arial" w:cs="Arial"/>
          <w:b/>
          <w:color w:val="2E74B5" w:themeColor="accent1" w:themeShade="BF"/>
          <w:sz w:val="24"/>
          <w:szCs w:val="24"/>
        </w:rPr>
        <w:t>.4. Sentido y efectos de la resolución.</w:t>
      </w:r>
    </w:p>
    <w:p w:rsidR="000F33B5" w:rsidRPr="000F33B5" w:rsidRDefault="000F33B5" w:rsidP="000F33B5">
      <w:pPr>
        <w:autoSpaceDE w:val="0"/>
        <w:autoSpaceDN w:val="0"/>
        <w:adjustRightInd w:val="0"/>
        <w:spacing w:after="0" w:line="276" w:lineRule="auto"/>
        <w:ind w:firstLine="708"/>
        <w:jc w:val="both"/>
        <w:rPr>
          <w:rFonts w:ascii="Arial" w:hAnsi="Arial" w:cs="Arial"/>
          <w:color w:val="2E74B5" w:themeColor="accent1" w:themeShade="BF"/>
          <w:sz w:val="24"/>
          <w:szCs w:val="24"/>
        </w:rPr>
      </w:pPr>
    </w:p>
    <w:p w:rsidR="00585A8E" w:rsidRPr="00585A8E" w:rsidRDefault="006E7C73" w:rsidP="00585A8E">
      <w:pPr>
        <w:spacing w:after="0" w:line="276" w:lineRule="auto"/>
        <w:jc w:val="both"/>
        <w:rPr>
          <w:rFonts w:ascii="Arial" w:hAnsi="Arial" w:cs="Arial"/>
          <w:sz w:val="23"/>
          <w:szCs w:val="23"/>
        </w:rPr>
      </w:pPr>
      <w:r w:rsidRPr="000F33B5">
        <w:rPr>
          <w:rFonts w:ascii="AvantGarde Bk BT" w:hAnsi="AvantGarde Bk BT" w:cs="Arial"/>
          <w:b/>
          <w:color w:val="2E74B5" w:themeColor="accent1" w:themeShade="BF"/>
          <w:sz w:val="24"/>
          <w:szCs w:val="24"/>
        </w:rPr>
        <w:tab/>
      </w:r>
      <w:r w:rsidR="00585A8E" w:rsidRPr="00585A8E">
        <w:rPr>
          <w:rFonts w:ascii="Arial" w:hAnsi="Arial" w:cs="Arial"/>
          <w:color w:val="2E74B5" w:themeColor="accent1" w:themeShade="BF"/>
          <w:sz w:val="24"/>
          <w:szCs w:val="24"/>
        </w:rPr>
        <w:t xml:space="preserve">Por lo anteriormente expuesto </w:t>
      </w:r>
      <w:r w:rsidR="00585A8E" w:rsidRPr="00585A8E">
        <w:rPr>
          <w:rFonts w:ascii="Arial" w:hAnsi="Arial" w:cs="Arial"/>
          <w:color w:val="2E74B5" w:themeColor="accent1" w:themeShade="BF"/>
          <w:sz w:val="23"/>
          <w:szCs w:val="23"/>
        </w:rPr>
        <w:t>y, al haber resultado fundado el agravio que hizo valer el recurrente en suplencia, lo procedente es que</w:t>
      </w:r>
      <w:r w:rsidRPr="00585A8E">
        <w:rPr>
          <w:rFonts w:ascii="Arial" w:hAnsi="Arial" w:cs="Arial"/>
          <w:color w:val="2E74B5" w:themeColor="accent1" w:themeShade="BF"/>
          <w:sz w:val="24"/>
          <w:szCs w:val="24"/>
        </w:rPr>
        <w:t xml:space="preserve"> esta Comisión, con fundamento en lo dispuesto por el artículo 175, fracción III, de la Ley de Transparencia y Acceso a la Información Pública del Estado, se </w:t>
      </w:r>
      <w:r w:rsidRPr="00585A8E">
        <w:rPr>
          <w:rFonts w:ascii="Arial" w:hAnsi="Arial" w:cs="Arial"/>
          <w:b/>
          <w:color w:val="2E74B5" w:themeColor="accent1" w:themeShade="BF"/>
          <w:sz w:val="24"/>
          <w:szCs w:val="24"/>
        </w:rPr>
        <w:t>Modifica</w:t>
      </w:r>
      <w:r w:rsidRPr="00585A8E">
        <w:rPr>
          <w:rFonts w:ascii="Arial" w:hAnsi="Arial" w:cs="Arial"/>
          <w:color w:val="2E74B5" w:themeColor="accent1" w:themeShade="BF"/>
          <w:sz w:val="24"/>
          <w:szCs w:val="24"/>
        </w:rPr>
        <w:t xml:space="preserve"> la respuesta emitida por el sujeto obligado, para efectos de que:</w:t>
      </w:r>
    </w:p>
    <w:p w:rsidR="00B313B8" w:rsidRPr="000F33B5" w:rsidRDefault="00B313B8" w:rsidP="000F33B5">
      <w:pPr>
        <w:spacing w:after="0" w:line="276" w:lineRule="auto"/>
        <w:jc w:val="both"/>
        <w:rPr>
          <w:rFonts w:ascii="Arial" w:hAnsi="Arial" w:cs="Arial"/>
          <w:color w:val="2E74B5" w:themeColor="accent1" w:themeShade="BF"/>
          <w:sz w:val="24"/>
          <w:szCs w:val="24"/>
        </w:rPr>
      </w:pPr>
    </w:p>
    <w:p w:rsidR="006E7C73" w:rsidRPr="000F33B5" w:rsidRDefault="006E7C73" w:rsidP="000F33B5">
      <w:pPr>
        <w:pStyle w:val="corte4fondo"/>
        <w:numPr>
          <w:ilvl w:val="0"/>
          <w:numId w:val="9"/>
        </w:numPr>
        <w:spacing w:line="276" w:lineRule="auto"/>
        <w:rPr>
          <w:rFonts w:cs="Arial"/>
          <w:color w:val="2E74B5" w:themeColor="accent1" w:themeShade="BF"/>
          <w:sz w:val="24"/>
          <w:szCs w:val="24"/>
        </w:rPr>
      </w:pPr>
      <w:r w:rsidRPr="000F33B5">
        <w:rPr>
          <w:rFonts w:cs="Arial"/>
          <w:color w:val="2E74B5" w:themeColor="accent1" w:themeShade="BF"/>
          <w:sz w:val="24"/>
          <w:szCs w:val="24"/>
        </w:rPr>
        <w:lastRenderedPageBreak/>
        <w:t>Entregue la información en la modalidad solicitada por la recurrente, o en su caso, ofrezca las diversas modalidades de entrega de información, realizando una suficiente y debida fundamentación de ello.</w:t>
      </w:r>
    </w:p>
    <w:p w:rsidR="006E7C73" w:rsidRPr="000F33B5" w:rsidRDefault="006E7C73" w:rsidP="000F33B5">
      <w:pPr>
        <w:pStyle w:val="corte4fondo"/>
        <w:spacing w:line="276" w:lineRule="auto"/>
        <w:ind w:firstLine="0"/>
        <w:rPr>
          <w:rFonts w:cs="Arial"/>
          <w:color w:val="2E74B5" w:themeColor="accent1" w:themeShade="BF"/>
          <w:sz w:val="24"/>
          <w:szCs w:val="24"/>
        </w:rPr>
      </w:pPr>
    </w:p>
    <w:p w:rsidR="00591E25" w:rsidRPr="000F33B5" w:rsidRDefault="00591E25" w:rsidP="000F33B5">
      <w:pPr>
        <w:pStyle w:val="corte4fondo"/>
        <w:tabs>
          <w:tab w:val="left" w:pos="567"/>
        </w:tabs>
        <w:spacing w:line="276" w:lineRule="auto"/>
        <w:ind w:firstLine="0"/>
        <w:rPr>
          <w:rFonts w:cs="Arial"/>
          <w:b/>
          <w:color w:val="2E74B5" w:themeColor="accent1" w:themeShade="BF"/>
          <w:sz w:val="24"/>
          <w:szCs w:val="24"/>
        </w:rPr>
      </w:pPr>
      <w:r w:rsidRPr="000F33B5">
        <w:rPr>
          <w:rFonts w:eastAsia="Calibri" w:cs="Arial"/>
          <w:b/>
          <w:color w:val="2E74B5" w:themeColor="accent1" w:themeShade="BF"/>
          <w:sz w:val="24"/>
          <w:szCs w:val="24"/>
          <w:lang w:eastAsia="en-US"/>
        </w:rPr>
        <w:tab/>
      </w:r>
      <w:r w:rsidR="000F33B5" w:rsidRPr="000F33B5">
        <w:rPr>
          <w:rFonts w:cs="Arial"/>
          <w:b/>
          <w:color w:val="2E74B5" w:themeColor="accent1" w:themeShade="BF"/>
          <w:sz w:val="24"/>
          <w:szCs w:val="24"/>
        </w:rPr>
        <w:t>6</w:t>
      </w:r>
      <w:r w:rsidRPr="000F33B5">
        <w:rPr>
          <w:rFonts w:cs="Arial"/>
          <w:b/>
          <w:color w:val="2E74B5" w:themeColor="accent1" w:themeShade="BF"/>
          <w:sz w:val="24"/>
          <w:szCs w:val="24"/>
        </w:rPr>
        <w:t>.5. Precisiones de esta resolución.</w:t>
      </w:r>
    </w:p>
    <w:p w:rsidR="00591E25" w:rsidRPr="000F33B5" w:rsidRDefault="00591E25" w:rsidP="000F33B5">
      <w:pPr>
        <w:pStyle w:val="corte4fondo"/>
        <w:tabs>
          <w:tab w:val="left" w:pos="567"/>
        </w:tabs>
        <w:spacing w:line="276" w:lineRule="auto"/>
        <w:ind w:firstLine="708"/>
        <w:rPr>
          <w:rFonts w:cs="Arial"/>
          <w:b/>
          <w:color w:val="2E74B5" w:themeColor="accent1" w:themeShade="BF"/>
          <w:sz w:val="24"/>
          <w:szCs w:val="24"/>
        </w:rPr>
      </w:pPr>
    </w:p>
    <w:p w:rsidR="00591E25" w:rsidRPr="000F33B5" w:rsidRDefault="00591E25" w:rsidP="000F33B5">
      <w:pPr>
        <w:pStyle w:val="corte4fondo"/>
        <w:tabs>
          <w:tab w:val="left" w:pos="567"/>
        </w:tabs>
        <w:spacing w:line="276" w:lineRule="auto"/>
        <w:ind w:firstLine="0"/>
        <w:rPr>
          <w:rFonts w:cs="Arial"/>
          <w:color w:val="2E74B5" w:themeColor="accent1" w:themeShade="BF"/>
          <w:sz w:val="24"/>
          <w:szCs w:val="24"/>
        </w:rPr>
      </w:pPr>
      <w:r w:rsidRPr="000F33B5">
        <w:rPr>
          <w:rFonts w:cs="Arial"/>
          <w:b/>
          <w:color w:val="2E74B5" w:themeColor="accent1" w:themeShade="BF"/>
          <w:sz w:val="24"/>
          <w:szCs w:val="24"/>
        </w:rPr>
        <w:tab/>
      </w:r>
      <w:r w:rsidRPr="000F33B5">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591E25" w:rsidRPr="000F33B5" w:rsidRDefault="00591E25" w:rsidP="000F33B5">
      <w:pPr>
        <w:pStyle w:val="corte4fondo"/>
        <w:tabs>
          <w:tab w:val="left" w:pos="567"/>
        </w:tabs>
        <w:spacing w:line="276" w:lineRule="auto"/>
        <w:ind w:firstLine="0"/>
        <w:rPr>
          <w:rFonts w:cs="Arial"/>
          <w:color w:val="2E74B5" w:themeColor="accent1" w:themeShade="BF"/>
          <w:sz w:val="24"/>
          <w:szCs w:val="24"/>
        </w:rPr>
      </w:pPr>
    </w:p>
    <w:p w:rsidR="00591E25" w:rsidRPr="000F33B5" w:rsidRDefault="00591E25" w:rsidP="000F33B5">
      <w:pPr>
        <w:pStyle w:val="corte4fondo"/>
        <w:numPr>
          <w:ilvl w:val="0"/>
          <w:numId w:val="4"/>
        </w:numPr>
        <w:tabs>
          <w:tab w:val="left" w:pos="567"/>
        </w:tabs>
        <w:spacing w:line="276" w:lineRule="auto"/>
        <w:rPr>
          <w:rFonts w:cs="Arial"/>
          <w:color w:val="2E74B5" w:themeColor="accent1" w:themeShade="BF"/>
          <w:sz w:val="24"/>
          <w:szCs w:val="24"/>
        </w:rPr>
      </w:pPr>
      <w:r w:rsidRPr="000F33B5">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el particular para oír y recibir notificaciones.</w:t>
      </w:r>
    </w:p>
    <w:p w:rsidR="00591E25" w:rsidRPr="000F33B5" w:rsidRDefault="00591E25" w:rsidP="000F33B5">
      <w:pPr>
        <w:pStyle w:val="corte4fondo"/>
        <w:tabs>
          <w:tab w:val="left" w:pos="567"/>
        </w:tabs>
        <w:spacing w:line="276" w:lineRule="auto"/>
        <w:ind w:left="720" w:firstLine="0"/>
        <w:rPr>
          <w:rFonts w:cs="Arial"/>
          <w:color w:val="2E74B5" w:themeColor="accent1" w:themeShade="BF"/>
          <w:sz w:val="24"/>
          <w:szCs w:val="24"/>
        </w:rPr>
      </w:pPr>
    </w:p>
    <w:p w:rsidR="00591E25" w:rsidRPr="000F33B5" w:rsidRDefault="00591E25" w:rsidP="000F33B5">
      <w:pPr>
        <w:pStyle w:val="corte4fondo"/>
        <w:numPr>
          <w:ilvl w:val="0"/>
          <w:numId w:val="4"/>
        </w:numPr>
        <w:tabs>
          <w:tab w:val="left" w:pos="567"/>
        </w:tabs>
        <w:spacing w:line="276" w:lineRule="auto"/>
        <w:rPr>
          <w:rFonts w:cs="Arial"/>
          <w:color w:val="2E74B5" w:themeColor="accent1" w:themeShade="BF"/>
          <w:sz w:val="24"/>
          <w:szCs w:val="24"/>
        </w:rPr>
      </w:pPr>
      <w:r w:rsidRPr="000F33B5">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591E25" w:rsidRPr="000F33B5" w:rsidRDefault="00591E25" w:rsidP="000F33B5">
      <w:pPr>
        <w:pStyle w:val="NormalWeb"/>
        <w:spacing w:before="0" w:beforeAutospacing="0" w:after="0" w:afterAutospacing="0" w:line="276" w:lineRule="auto"/>
        <w:ind w:left="720"/>
        <w:jc w:val="both"/>
        <w:rPr>
          <w:rFonts w:ascii="Arial" w:hAnsi="Arial" w:cs="Arial"/>
          <w:color w:val="2E74B5" w:themeColor="accent1" w:themeShade="BF"/>
        </w:rPr>
      </w:pPr>
    </w:p>
    <w:p w:rsidR="00591E25" w:rsidRPr="000F33B5" w:rsidRDefault="00591E25" w:rsidP="000F33B5">
      <w:pPr>
        <w:spacing w:after="0" w:line="276" w:lineRule="auto"/>
        <w:ind w:firstLine="360"/>
        <w:jc w:val="both"/>
        <w:rPr>
          <w:rFonts w:ascii="Arial" w:eastAsia="Times New Roman" w:hAnsi="Arial" w:cs="Arial"/>
          <w:b/>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 xml:space="preserve">    </w:t>
      </w:r>
      <w:r w:rsidR="000F33B5" w:rsidRPr="000F33B5">
        <w:rPr>
          <w:rFonts w:ascii="Arial" w:eastAsia="Times New Roman" w:hAnsi="Arial" w:cs="Arial"/>
          <w:b/>
          <w:color w:val="2E74B5" w:themeColor="accent1" w:themeShade="BF"/>
          <w:sz w:val="24"/>
          <w:szCs w:val="24"/>
          <w:lang w:eastAsia="es-MX"/>
        </w:rPr>
        <w:t>6</w:t>
      </w:r>
      <w:r w:rsidRPr="000F33B5">
        <w:rPr>
          <w:rFonts w:ascii="Arial" w:eastAsia="Times New Roman" w:hAnsi="Arial" w:cs="Arial"/>
          <w:b/>
          <w:color w:val="2E74B5" w:themeColor="accent1" w:themeShade="BF"/>
          <w:sz w:val="24"/>
          <w:szCs w:val="24"/>
          <w:lang w:eastAsia="es-MX"/>
        </w:rPr>
        <w:t>.6. Plazo de diez días hábiles para el cumplimento de esta resolución.</w:t>
      </w:r>
    </w:p>
    <w:p w:rsidR="00591E25" w:rsidRPr="000F33B5" w:rsidRDefault="00591E25" w:rsidP="000F33B5">
      <w:pPr>
        <w:spacing w:after="0" w:line="276" w:lineRule="auto"/>
        <w:jc w:val="both"/>
        <w:rPr>
          <w:rFonts w:ascii="Arial" w:eastAsia="Times New Roman" w:hAnsi="Arial" w:cs="Arial"/>
          <w:b/>
          <w:color w:val="2E74B5" w:themeColor="accent1" w:themeShade="BF"/>
          <w:sz w:val="24"/>
          <w:szCs w:val="24"/>
          <w:lang w:eastAsia="es-MX"/>
        </w:rPr>
      </w:pPr>
    </w:p>
    <w:p w:rsidR="00591E25" w:rsidRPr="000F33B5" w:rsidRDefault="00591E25" w:rsidP="000F33B5">
      <w:pPr>
        <w:pStyle w:val="Prrafodelista"/>
        <w:spacing w:after="0"/>
        <w:ind w:left="0" w:firstLine="360"/>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591E25" w:rsidRPr="000F33B5" w:rsidRDefault="00591E25" w:rsidP="000F33B5">
      <w:pPr>
        <w:pStyle w:val="Prrafodelista"/>
        <w:spacing w:after="0"/>
        <w:ind w:left="720"/>
        <w:jc w:val="both"/>
        <w:rPr>
          <w:rFonts w:ascii="Arial" w:eastAsia="Times New Roman" w:hAnsi="Arial" w:cs="Arial"/>
          <w:color w:val="2E74B5" w:themeColor="accent1" w:themeShade="BF"/>
          <w:sz w:val="24"/>
          <w:szCs w:val="24"/>
          <w:lang w:eastAsia="es-MX"/>
        </w:rPr>
      </w:pPr>
    </w:p>
    <w:p w:rsidR="00591E25" w:rsidRPr="000F33B5" w:rsidRDefault="000F33B5" w:rsidP="000F33B5">
      <w:pPr>
        <w:spacing w:after="0" w:line="276" w:lineRule="auto"/>
        <w:ind w:firstLine="708"/>
        <w:jc w:val="both"/>
        <w:rPr>
          <w:rFonts w:ascii="Arial" w:eastAsia="Times New Roman" w:hAnsi="Arial" w:cs="Arial"/>
          <w:b/>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6</w:t>
      </w:r>
      <w:r w:rsidR="00591E25" w:rsidRPr="000F33B5">
        <w:rPr>
          <w:rFonts w:ascii="Arial" w:eastAsia="Times New Roman" w:hAnsi="Arial" w:cs="Arial"/>
          <w:b/>
          <w:color w:val="2E74B5" w:themeColor="accent1" w:themeShade="BF"/>
          <w:sz w:val="24"/>
          <w:szCs w:val="24"/>
          <w:lang w:eastAsia="es-MX"/>
        </w:rPr>
        <w:t>.7. Informe sobre el cumplimento a la resolución dentro del plazo de tres días hábiles.</w:t>
      </w:r>
    </w:p>
    <w:p w:rsidR="00591E25" w:rsidRPr="000F33B5" w:rsidRDefault="00591E25" w:rsidP="000F33B5">
      <w:pPr>
        <w:spacing w:after="0" w:line="276" w:lineRule="auto"/>
        <w:jc w:val="both"/>
        <w:rPr>
          <w:rFonts w:ascii="Arial" w:eastAsia="Times New Roman" w:hAnsi="Arial" w:cs="Arial"/>
          <w:b/>
          <w:color w:val="2E74B5" w:themeColor="accent1" w:themeShade="BF"/>
          <w:sz w:val="24"/>
          <w:szCs w:val="24"/>
          <w:lang w:eastAsia="es-MX"/>
        </w:rPr>
      </w:pPr>
    </w:p>
    <w:p w:rsidR="00591E25" w:rsidRPr="000F33B5" w:rsidRDefault="00591E25" w:rsidP="000F33B5">
      <w:pPr>
        <w:pStyle w:val="Prrafodelista"/>
        <w:spacing w:after="0"/>
        <w:ind w:left="0" w:firstLine="708"/>
        <w:jc w:val="both"/>
        <w:rPr>
          <w:rFonts w:ascii="Arial" w:eastAsia="Times New Roman" w:hAnsi="Arial" w:cs="Arial"/>
          <w:color w:val="2E74B5" w:themeColor="accent1" w:themeShade="BF"/>
          <w:sz w:val="24"/>
          <w:szCs w:val="24"/>
          <w:lang w:eastAsia="es-MX"/>
        </w:rPr>
      </w:pPr>
      <w:r w:rsidRPr="000F33B5">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591E25" w:rsidRPr="000F33B5" w:rsidRDefault="00591E25" w:rsidP="000F33B5">
      <w:pPr>
        <w:pStyle w:val="Prrafodelista"/>
        <w:spacing w:after="0"/>
        <w:ind w:left="720"/>
        <w:jc w:val="both"/>
        <w:rPr>
          <w:rFonts w:ascii="Arial" w:eastAsia="Times New Roman" w:hAnsi="Arial" w:cs="Arial"/>
          <w:color w:val="2E74B5" w:themeColor="accent1" w:themeShade="BF"/>
          <w:sz w:val="24"/>
          <w:szCs w:val="24"/>
          <w:lang w:eastAsia="es-MX"/>
        </w:rPr>
      </w:pPr>
    </w:p>
    <w:p w:rsidR="00591E25" w:rsidRPr="000F33B5" w:rsidRDefault="000F33B5" w:rsidP="000F33B5">
      <w:pPr>
        <w:spacing w:after="0" w:line="276" w:lineRule="auto"/>
        <w:ind w:firstLine="708"/>
        <w:jc w:val="both"/>
        <w:rPr>
          <w:rFonts w:ascii="Arial" w:eastAsia="Times New Roman" w:hAnsi="Arial" w:cs="Arial"/>
          <w:b/>
          <w:color w:val="2E74B5" w:themeColor="accent1" w:themeShade="BF"/>
          <w:sz w:val="24"/>
          <w:szCs w:val="24"/>
          <w:lang w:eastAsia="es-MX"/>
        </w:rPr>
      </w:pPr>
      <w:r w:rsidRPr="000F33B5">
        <w:rPr>
          <w:rFonts w:ascii="Arial" w:eastAsia="Times New Roman" w:hAnsi="Arial" w:cs="Arial"/>
          <w:b/>
          <w:color w:val="2E74B5" w:themeColor="accent1" w:themeShade="BF"/>
          <w:sz w:val="24"/>
          <w:szCs w:val="24"/>
          <w:lang w:eastAsia="es-MX"/>
        </w:rPr>
        <w:t>6</w:t>
      </w:r>
      <w:r w:rsidR="00591E25" w:rsidRPr="000F33B5">
        <w:rPr>
          <w:rFonts w:ascii="Arial" w:eastAsia="Times New Roman" w:hAnsi="Arial" w:cs="Arial"/>
          <w:b/>
          <w:color w:val="2E74B5" w:themeColor="accent1" w:themeShade="BF"/>
          <w:sz w:val="24"/>
          <w:szCs w:val="24"/>
          <w:lang w:eastAsia="es-MX"/>
        </w:rPr>
        <w:t>.8. Medida de apremio en caso de incumplimiento a la resolución.</w:t>
      </w: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r w:rsidRPr="000F33B5">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w:t>
      </w:r>
      <w:r w:rsidRPr="000F33B5">
        <w:rPr>
          <w:rFonts w:cs="Arial"/>
          <w:color w:val="2E74B5" w:themeColor="accent1" w:themeShade="BF"/>
          <w:sz w:val="24"/>
          <w:szCs w:val="24"/>
        </w:rPr>
        <w:lastRenderedPageBreak/>
        <w:t xml:space="preserve">garantizar el debido cumplimiento al derecho humano de acceso a la información pública.  </w:t>
      </w:r>
    </w:p>
    <w:p w:rsidR="00591E25" w:rsidRPr="000F33B5" w:rsidRDefault="00591E25" w:rsidP="000F33B5">
      <w:pPr>
        <w:pStyle w:val="corte4fondo"/>
        <w:tabs>
          <w:tab w:val="left" w:pos="567"/>
        </w:tabs>
        <w:spacing w:line="276" w:lineRule="auto"/>
        <w:ind w:left="720" w:firstLine="0"/>
        <w:rPr>
          <w:rFonts w:cs="Arial"/>
          <w:b/>
          <w:color w:val="2E74B5" w:themeColor="accent1" w:themeShade="BF"/>
          <w:sz w:val="24"/>
          <w:szCs w:val="24"/>
        </w:rPr>
      </w:pPr>
    </w:p>
    <w:p w:rsidR="00591E25" w:rsidRPr="000F33B5" w:rsidRDefault="00591E25" w:rsidP="000F33B5">
      <w:pPr>
        <w:pStyle w:val="corte4fondo"/>
        <w:tabs>
          <w:tab w:val="left" w:pos="567"/>
        </w:tabs>
        <w:spacing w:line="276" w:lineRule="auto"/>
        <w:jc w:val="center"/>
        <w:rPr>
          <w:rFonts w:cs="Arial"/>
          <w:color w:val="2E74B5" w:themeColor="accent1" w:themeShade="BF"/>
          <w:sz w:val="24"/>
          <w:szCs w:val="24"/>
        </w:rPr>
      </w:pPr>
      <w:r w:rsidRPr="000F33B5">
        <w:rPr>
          <w:rFonts w:cs="Arial"/>
          <w:b/>
          <w:color w:val="2E74B5" w:themeColor="accent1" w:themeShade="BF"/>
          <w:sz w:val="24"/>
          <w:szCs w:val="24"/>
        </w:rPr>
        <w:t>RESOLUTIVOS</w:t>
      </w:r>
      <w:r w:rsidRPr="000F33B5">
        <w:rPr>
          <w:rFonts w:cs="Arial"/>
          <w:color w:val="2E74B5" w:themeColor="accent1" w:themeShade="BF"/>
          <w:sz w:val="24"/>
          <w:szCs w:val="24"/>
        </w:rPr>
        <w:t xml:space="preserve"> </w:t>
      </w:r>
    </w:p>
    <w:p w:rsidR="00591E25" w:rsidRPr="000F33B5" w:rsidRDefault="00591E25" w:rsidP="000F33B5">
      <w:pPr>
        <w:pStyle w:val="corte4fondo"/>
        <w:tabs>
          <w:tab w:val="left" w:pos="567"/>
        </w:tabs>
        <w:spacing w:line="276" w:lineRule="auto"/>
        <w:jc w:val="center"/>
        <w:rPr>
          <w:rFonts w:cs="Arial"/>
          <w:color w:val="2E74B5" w:themeColor="accent1" w:themeShade="BF"/>
          <w:sz w:val="24"/>
          <w:szCs w:val="24"/>
        </w:rPr>
      </w:pP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r w:rsidRPr="000F33B5">
        <w:rPr>
          <w:rFonts w:cs="Arial"/>
          <w:color w:val="2E74B5" w:themeColor="accent1" w:themeShade="BF"/>
          <w:sz w:val="24"/>
          <w:szCs w:val="24"/>
        </w:rPr>
        <w:t>Por lo expuesto y fundado, SE RESUELVE:</w:t>
      </w: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r w:rsidRPr="000F33B5">
        <w:rPr>
          <w:rFonts w:cs="Arial"/>
          <w:b/>
          <w:color w:val="2E74B5" w:themeColor="accent1" w:themeShade="BF"/>
          <w:sz w:val="24"/>
          <w:szCs w:val="24"/>
        </w:rPr>
        <w:t>Único</w:t>
      </w:r>
      <w:r w:rsidRPr="000F33B5">
        <w:rPr>
          <w:rFonts w:cs="Arial"/>
          <w:color w:val="2E74B5" w:themeColor="accent1" w:themeShade="BF"/>
          <w:sz w:val="24"/>
          <w:szCs w:val="24"/>
        </w:rPr>
        <w:t xml:space="preserve">. Esta Comisión Estatal de Garantía y Acceso a la Información Pública </w:t>
      </w:r>
      <w:r w:rsidRPr="000F33B5">
        <w:rPr>
          <w:rFonts w:cs="Arial"/>
          <w:b/>
          <w:color w:val="2E74B5" w:themeColor="accent1" w:themeShade="BF"/>
          <w:sz w:val="24"/>
          <w:szCs w:val="24"/>
        </w:rPr>
        <w:t>modifica el acto impugnado</w:t>
      </w:r>
      <w:r w:rsidRPr="000F33B5">
        <w:rPr>
          <w:rFonts w:cs="Arial"/>
          <w:color w:val="2E74B5" w:themeColor="accent1" w:themeShade="BF"/>
          <w:sz w:val="24"/>
          <w:szCs w:val="24"/>
        </w:rPr>
        <w:t xml:space="preserve"> por los fundamentos y las razones desarrolladas en el conside</w:t>
      </w:r>
      <w:r w:rsidR="000F33B5" w:rsidRPr="000F33B5">
        <w:rPr>
          <w:rFonts w:cs="Arial"/>
          <w:color w:val="2E74B5" w:themeColor="accent1" w:themeShade="BF"/>
          <w:sz w:val="24"/>
          <w:szCs w:val="24"/>
        </w:rPr>
        <w:t>rando sexto</w:t>
      </w:r>
      <w:r w:rsidRPr="000F33B5">
        <w:rPr>
          <w:rFonts w:cs="Arial"/>
          <w:color w:val="2E74B5" w:themeColor="accent1" w:themeShade="BF"/>
          <w:sz w:val="24"/>
          <w:szCs w:val="24"/>
        </w:rPr>
        <w:t xml:space="preserve"> de la presente resolución.</w:t>
      </w: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r w:rsidRPr="000F33B5">
        <w:rPr>
          <w:rFonts w:cs="Arial"/>
          <w:color w:val="2E74B5" w:themeColor="accent1" w:themeShade="BF"/>
          <w:sz w:val="24"/>
          <w:szCs w:val="24"/>
        </w:rPr>
        <w:t xml:space="preserve"> </w:t>
      </w:r>
    </w:p>
    <w:p w:rsidR="00591E25" w:rsidRPr="000F33B5" w:rsidRDefault="00591E25" w:rsidP="000F33B5">
      <w:pPr>
        <w:pStyle w:val="corte4fondo"/>
        <w:tabs>
          <w:tab w:val="left" w:pos="567"/>
        </w:tabs>
        <w:spacing w:line="276" w:lineRule="auto"/>
        <w:rPr>
          <w:rFonts w:cs="Arial"/>
          <w:color w:val="2E74B5" w:themeColor="accent1" w:themeShade="BF"/>
          <w:sz w:val="24"/>
          <w:szCs w:val="24"/>
        </w:rPr>
      </w:pPr>
      <w:r w:rsidRPr="000F33B5">
        <w:rPr>
          <w:rFonts w:cs="Arial"/>
          <w:b/>
          <w:color w:val="2E74B5" w:themeColor="accent1" w:themeShade="BF"/>
          <w:sz w:val="24"/>
          <w:szCs w:val="24"/>
        </w:rPr>
        <w:t xml:space="preserve">Notifíquese; </w:t>
      </w:r>
      <w:r w:rsidRPr="000F33B5">
        <w:rPr>
          <w:rFonts w:cs="Arial"/>
          <w:color w:val="2E74B5" w:themeColor="accent1" w:themeShade="BF"/>
          <w:sz w:val="24"/>
          <w:szCs w:val="24"/>
        </w:rPr>
        <w:t>por oficio a las autoridades</w:t>
      </w:r>
      <w:r w:rsidRPr="000F33B5">
        <w:rPr>
          <w:rFonts w:cs="Arial"/>
          <w:b/>
          <w:color w:val="2E74B5" w:themeColor="accent1" w:themeShade="BF"/>
          <w:sz w:val="24"/>
          <w:szCs w:val="24"/>
        </w:rPr>
        <w:t xml:space="preserve"> </w:t>
      </w:r>
      <w:r w:rsidRPr="000F33B5">
        <w:rPr>
          <w:rFonts w:cs="Arial"/>
          <w:color w:val="2E74B5" w:themeColor="accent1" w:themeShade="BF"/>
          <w:sz w:val="24"/>
          <w:szCs w:val="24"/>
        </w:rPr>
        <w:t>y a la recurrente por el medio que designó.</w:t>
      </w:r>
    </w:p>
    <w:p w:rsidR="00125316" w:rsidRPr="000F33B5" w:rsidRDefault="00125316" w:rsidP="000F33B5">
      <w:pPr>
        <w:pStyle w:val="corte4fondo"/>
        <w:tabs>
          <w:tab w:val="left" w:pos="567"/>
        </w:tabs>
        <w:spacing w:line="276" w:lineRule="auto"/>
        <w:rPr>
          <w:rFonts w:cs="Arial"/>
          <w:color w:val="2E74B5" w:themeColor="accent1" w:themeShade="BF"/>
          <w:sz w:val="24"/>
          <w:szCs w:val="24"/>
        </w:rPr>
      </w:pPr>
    </w:p>
    <w:p w:rsidR="00125316" w:rsidRPr="000F33B5" w:rsidRDefault="00125316" w:rsidP="000F33B5">
      <w:pPr>
        <w:pStyle w:val="corte4fondo"/>
        <w:tabs>
          <w:tab w:val="left" w:pos="567"/>
        </w:tabs>
        <w:spacing w:line="276" w:lineRule="auto"/>
        <w:rPr>
          <w:rFonts w:eastAsia="Arial Unicode MS" w:cs="Arial"/>
          <w:color w:val="2E74B5" w:themeColor="accent1" w:themeShade="BF"/>
          <w:sz w:val="24"/>
          <w:szCs w:val="24"/>
        </w:rPr>
      </w:pPr>
      <w:r w:rsidRPr="000F33B5">
        <w:rPr>
          <w:rFonts w:cs="Arial"/>
          <w:color w:val="2E74B5" w:themeColor="accent1" w:themeShade="BF"/>
          <w:sz w:val="24"/>
          <w:szCs w:val="24"/>
        </w:rPr>
        <w:t>Así, por unanimidad de votos lo resolvió la Comisión Estatal de Garantía de Acceso a la Información Pública, integrada por los</w:t>
      </w:r>
      <w:r w:rsidR="00C15449" w:rsidRPr="000F33B5">
        <w:rPr>
          <w:rFonts w:cs="Arial"/>
          <w:color w:val="2E74B5" w:themeColor="accent1" w:themeShade="BF"/>
          <w:sz w:val="24"/>
          <w:szCs w:val="24"/>
        </w:rPr>
        <w:t xml:space="preserve"> Comisionados Licenciados </w:t>
      </w:r>
      <w:proofErr w:type="spellStart"/>
      <w:r w:rsidR="00C15449" w:rsidRPr="000F33B5">
        <w:rPr>
          <w:rFonts w:cs="Arial"/>
          <w:color w:val="2E74B5" w:themeColor="accent1" w:themeShade="BF"/>
          <w:sz w:val="24"/>
          <w:szCs w:val="24"/>
        </w:rPr>
        <w:t>Mariaj</w:t>
      </w:r>
      <w:r w:rsidRPr="000F33B5">
        <w:rPr>
          <w:rFonts w:cs="Arial"/>
          <w:color w:val="2E74B5" w:themeColor="accent1" w:themeShade="BF"/>
          <w:sz w:val="24"/>
          <w:szCs w:val="24"/>
        </w:rPr>
        <w:t>osé</w:t>
      </w:r>
      <w:proofErr w:type="spellEnd"/>
      <w:r w:rsidRPr="000F33B5">
        <w:rPr>
          <w:rFonts w:cs="Arial"/>
          <w:color w:val="2E74B5" w:themeColor="accent1" w:themeShade="BF"/>
          <w:sz w:val="24"/>
          <w:szCs w:val="24"/>
        </w:rPr>
        <w:t xml:space="preserve"> González Zarzosa, Mtro. Alejandro Lafuente Torres, Paulina Sá</w:t>
      </w:r>
      <w:r w:rsidR="00C15449" w:rsidRPr="000F33B5">
        <w:rPr>
          <w:rFonts w:cs="Arial"/>
          <w:color w:val="2E74B5" w:themeColor="accent1" w:themeShade="BF"/>
          <w:sz w:val="24"/>
          <w:szCs w:val="24"/>
        </w:rPr>
        <w:t>nchez Pérez del Pozo, Presidente</w:t>
      </w:r>
      <w:r w:rsidRPr="000F33B5">
        <w:rPr>
          <w:rFonts w:cs="Arial"/>
          <w:color w:val="2E74B5" w:themeColor="accent1" w:themeShade="BF"/>
          <w:sz w:val="24"/>
          <w:szCs w:val="24"/>
        </w:rPr>
        <w:t xml:space="preserve">, siendo ponente la última de los nombrados, quienes, en unión de la Licenciada Rosa María Motilla García, Secretaria de Pleno que da fe, firman esta resolución. </w:t>
      </w:r>
      <w:r w:rsidRPr="000F33B5">
        <w:rPr>
          <w:rFonts w:eastAsia="Arial Unicode MS" w:cs="Arial"/>
          <w:color w:val="2E74B5" w:themeColor="accent1" w:themeShade="BF"/>
          <w:sz w:val="24"/>
          <w:szCs w:val="24"/>
        </w:rPr>
        <w:t xml:space="preserve">   </w:t>
      </w:r>
    </w:p>
    <w:p w:rsidR="00125316" w:rsidRPr="000F33B5" w:rsidRDefault="00125316" w:rsidP="000F33B5">
      <w:pPr>
        <w:pStyle w:val="corte4fondo"/>
        <w:tabs>
          <w:tab w:val="left" w:pos="567"/>
        </w:tabs>
        <w:spacing w:line="276" w:lineRule="auto"/>
        <w:rPr>
          <w:rFonts w:cs="Arial"/>
          <w:color w:val="2E74B5" w:themeColor="accent1" w:themeShade="BF"/>
          <w:sz w:val="24"/>
          <w:szCs w:val="24"/>
        </w:rPr>
      </w:pPr>
    </w:p>
    <w:p w:rsidR="00125316" w:rsidRPr="000F33B5" w:rsidRDefault="00125316" w:rsidP="000F33B5">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0F33B5" w:rsidRPr="000F33B5" w:rsidTr="001E1EE0">
        <w:trPr>
          <w:trHeight w:val="2654"/>
          <w:jc w:val="center"/>
        </w:trPr>
        <w:tc>
          <w:tcPr>
            <w:tcW w:w="4706" w:type="dxa"/>
            <w:gridSpan w:val="2"/>
          </w:tcPr>
          <w:p w:rsidR="00125316" w:rsidRPr="000F33B5" w:rsidRDefault="00125316" w:rsidP="000F33B5">
            <w:pPr>
              <w:spacing w:after="0" w:line="276" w:lineRule="auto"/>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        COMISIONADA </w:t>
            </w: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MARIAJOSÉ </w:t>
            </w:r>
          </w:p>
          <w:p w:rsidR="00125316" w:rsidRPr="000F33B5" w:rsidRDefault="00125316" w:rsidP="000F33B5">
            <w:pPr>
              <w:spacing w:after="0" w:line="276" w:lineRule="auto"/>
              <w:ind w:left="360" w:firstLine="36"/>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GONZÁLEZ ZARZOSA </w:t>
            </w: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                   </w:t>
            </w:r>
          </w:p>
          <w:p w:rsidR="00125316" w:rsidRPr="000F33B5" w:rsidRDefault="00125316" w:rsidP="000F33B5">
            <w:pPr>
              <w:spacing w:after="0" w:line="276" w:lineRule="auto"/>
              <w:rPr>
                <w:rFonts w:ascii="Arial" w:eastAsia="Arial Unicode MS" w:hAnsi="Arial" w:cs="Arial"/>
                <w:b/>
                <w:color w:val="2E74B5" w:themeColor="accent1" w:themeShade="BF"/>
                <w:sz w:val="24"/>
                <w:szCs w:val="24"/>
              </w:rPr>
            </w:pPr>
          </w:p>
        </w:tc>
        <w:tc>
          <w:tcPr>
            <w:tcW w:w="5194" w:type="dxa"/>
            <w:gridSpan w:val="2"/>
          </w:tcPr>
          <w:p w:rsidR="00125316" w:rsidRPr="000F33B5" w:rsidRDefault="00125316" w:rsidP="000F33B5">
            <w:pPr>
              <w:spacing w:after="0" w:line="276" w:lineRule="auto"/>
              <w:ind w:left="360" w:firstLine="708"/>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              COMISIONADO </w:t>
            </w: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                     MTRO. ALEJANDRO </w:t>
            </w:r>
          </w:p>
          <w:p w:rsidR="00125316" w:rsidRPr="000F33B5" w:rsidRDefault="00125316" w:rsidP="000F33B5">
            <w:pPr>
              <w:pStyle w:val="corte4fondo"/>
              <w:tabs>
                <w:tab w:val="left" w:pos="567"/>
              </w:tabs>
              <w:spacing w:line="276" w:lineRule="auto"/>
              <w:ind w:firstLine="0"/>
              <w:rPr>
                <w:rFonts w:cs="Arial"/>
                <w:i/>
                <w:color w:val="2E74B5" w:themeColor="accent1" w:themeShade="BF"/>
                <w:sz w:val="10"/>
                <w:szCs w:val="10"/>
              </w:rPr>
            </w:pPr>
            <w:r w:rsidRPr="000F33B5">
              <w:rPr>
                <w:rFonts w:eastAsia="Arial Unicode MS" w:cs="Arial"/>
                <w:b/>
                <w:color w:val="2E74B5" w:themeColor="accent1" w:themeShade="BF"/>
                <w:sz w:val="24"/>
                <w:szCs w:val="24"/>
              </w:rPr>
              <w:t xml:space="preserve">                    LAFUENTE TORRES</w:t>
            </w: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pStyle w:val="corte4fondo"/>
              <w:tabs>
                <w:tab w:val="left" w:pos="567"/>
              </w:tabs>
              <w:spacing w:line="276" w:lineRule="auto"/>
              <w:ind w:firstLine="0"/>
              <w:rPr>
                <w:rFonts w:eastAsia="Arial Unicode MS" w:cs="Arial"/>
                <w:b/>
                <w:color w:val="2E74B5" w:themeColor="accent1" w:themeShade="BF"/>
                <w:sz w:val="24"/>
                <w:szCs w:val="24"/>
              </w:rPr>
            </w:pPr>
          </w:p>
        </w:tc>
      </w:tr>
      <w:tr w:rsidR="000F33B5" w:rsidRPr="000F33B5" w:rsidTr="001E1EE0">
        <w:trPr>
          <w:trHeight w:val="2085"/>
          <w:jc w:val="center"/>
        </w:trPr>
        <w:tc>
          <w:tcPr>
            <w:tcW w:w="4552" w:type="dxa"/>
          </w:tcPr>
          <w:p w:rsidR="00125316" w:rsidRPr="000F33B5" w:rsidRDefault="00C15449" w:rsidP="000F33B5">
            <w:pPr>
              <w:spacing w:after="0" w:line="276" w:lineRule="auto"/>
              <w:ind w:left="360" w:hanging="360"/>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COMISIONADA PRESIDENTE</w:t>
            </w:r>
          </w:p>
          <w:p w:rsidR="00125316" w:rsidRPr="000F33B5" w:rsidRDefault="00125316" w:rsidP="000F33B5">
            <w:pPr>
              <w:spacing w:after="0" w:line="276" w:lineRule="auto"/>
              <w:ind w:left="360"/>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LIC. PAULINA SÁNCHEZ </w:t>
            </w:r>
          </w:p>
          <w:p w:rsidR="00125316" w:rsidRPr="000F33B5" w:rsidRDefault="00125316" w:rsidP="000F33B5">
            <w:pPr>
              <w:spacing w:after="0" w:line="276" w:lineRule="auto"/>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PÉREZ DEL POZO</w:t>
            </w:r>
          </w:p>
          <w:p w:rsidR="00125316" w:rsidRDefault="00125316" w:rsidP="000F33B5">
            <w:pPr>
              <w:spacing w:after="0" w:line="276" w:lineRule="auto"/>
              <w:ind w:left="360" w:firstLine="36"/>
              <w:jc w:val="center"/>
              <w:rPr>
                <w:rFonts w:ascii="Arial" w:eastAsia="Arial Unicode MS" w:hAnsi="Arial" w:cs="Arial"/>
                <w:b/>
                <w:color w:val="2E74B5" w:themeColor="accent1" w:themeShade="BF"/>
                <w:sz w:val="24"/>
                <w:szCs w:val="24"/>
              </w:rPr>
            </w:pPr>
          </w:p>
          <w:p w:rsidR="000F33B5" w:rsidRDefault="000F33B5" w:rsidP="000F33B5">
            <w:pPr>
              <w:spacing w:after="0" w:line="276" w:lineRule="auto"/>
              <w:ind w:left="360" w:firstLine="36"/>
              <w:jc w:val="center"/>
              <w:rPr>
                <w:rFonts w:ascii="Arial" w:eastAsia="Arial Unicode MS" w:hAnsi="Arial" w:cs="Arial"/>
                <w:b/>
                <w:color w:val="2E74B5" w:themeColor="accent1" w:themeShade="BF"/>
                <w:sz w:val="24"/>
                <w:szCs w:val="24"/>
              </w:rPr>
            </w:pPr>
          </w:p>
          <w:p w:rsidR="000F33B5" w:rsidRDefault="000F33B5" w:rsidP="000F33B5">
            <w:pPr>
              <w:spacing w:after="0" w:line="276" w:lineRule="auto"/>
              <w:ind w:left="360" w:firstLine="36"/>
              <w:jc w:val="center"/>
              <w:rPr>
                <w:rFonts w:ascii="Arial" w:eastAsia="Arial Unicode MS" w:hAnsi="Arial" w:cs="Arial"/>
                <w:b/>
                <w:color w:val="2E74B5" w:themeColor="accent1" w:themeShade="BF"/>
                <w:sz w:val="24"/>
                <w:szCs w:val="24"/>
              </w:rPr>
            </w:pPr>
          </w:p>
          <w:p w:rsidR="000F33B5" w:rsidRDefault="000F33B5" w:rsidP="000F33B5">
            <w:pPr>
              <w:spacing w:after="0" w:line="276" w:lineRule="auto"/>
              <w:ind w:left="360" w:firstLine="36"/>
              <w:jc w:val="center"/>
              <w:rPr>
                <w:rFonts w:ascii="Arial" w:eastAsia="Arial Unicode MS" w:hAnsi="Arial" w:cs="Arial"/>
                <w:b/>
                <w:color w:val="2E74B5" w:themeColor="accent1" w:themeShade="BF"/>
                <w:sz w:val="24"/>
                <w:szCs w:val="24"/>
              </w:rPr>
            </w:pPr>
          </w:p>
          <w:p w:rsidR="000F33B5" w:rsidRDefault="000F33B5" w:rsidP="000F33B5">
            <w:pPr>
              <w:spacing w:after="0" w:line="276" w:lineRule="auto"/>
              <w:ind w:left="360" w:firstLine="36"/>
              <w:jc w:val="center"/>
              <w:rPr>
                <w:rFonts w:ascii="Arial" w:eastAsia="Arial Unicode MS" w:hAnsi="Arial" w:cs="Arial"/>
                <w:b/>
                <w:color w:val="2E74B5" w:themeColor="accent1" w:themeShade="BF"/>
                <w:sz w:val="24"/>
                <w:szCs w:val="24"/>
              </w:rPr>
            </w:pPr>
          </w:p>
          <w:p w:rsidR="000F33B5" w:rsidRPr="000F33B5" w:rsidRDefault="000F33B5" w:rsidP="000F33B5">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125316" w:rsidRPr="000F33B5" w:rsidRDefault="00125316" w:rsidP="000F33B5">
            <w:pPr>
              <w:spacing w:after="0" w:line="276" w:lineRule="auto"/>
              <w:ind w:left="360" w:firstLine="708"/>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SECRETARIA DE PLENO</w:t>
            </w: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firstLine="708"/>
              <w:jc w:val="center"/>
              <w:rPr>
                <w:rFonts w:ascii="Arial" w:eastAsia="Arial Unicode MS" w:hAnsi="Arial" w:cs="Arial"/>
                <w:b/>
                <w:color w:val="2E74B5" w:themeColor="accent1" w:themeShade="BF"/>
                <w:sz w:val="24"/>
                <w:szCs w:val="24"/>
              </w:rPr>
            </w:pPr>
          </w:p>
          <w:p w:rsidR="00125316" w:rsidRPr="000F33B5" w:rsidRDefault="00125316" w:rsidP="000F33B5">
            <w:pPr>
              <w:spacing w:after="0" w:line="276" w:lineRule="auto"/>
              <w:ind w:left="360" w:hanging="360"/>
              <w:jc w:val="center"/>
              <w:rPr>
                <w:rFonts w:ascii="Arial" w:eastAsia="Arial Unicode MS" w:hAnsi="Arial" w:cs="Arial"/>
                <w:b/>
                <w:color w:val="2E74B5" w:themeColor="accent1" w:themeShade="BF"/>
                <w:sz w:val="24"/>
                <w:szCs w:val="24"/>
              </w:rPr>
            </w:pPr>
            <w:r w:rsidRPr="000F33B5">
              <w:rPr>
                <w:rFonts w:ascii="Arial" w:eastAsia="Arial Unicode MS" w:hAnsi="Arial" w:cs="Arial"/>
                <w:b/>
                <w:color w:val="2E74B5" w:themeColor="accent1" w:themeShade="BF"/>
                <w:sz w:val="24"/>
                <w:szCs w:val="24"/>
              </w:rPr>
              <w:t xml:space="preserve">LIC. ROSA MARÍA MOTILLA GARCÍA </w:t>
            </w:r>
          </w:p>
        </w:tc>
      </w:tr>
    </w:tbl>
    <w:p w:rsidR="00125316" w:rsidRPr="000F33B5" w:rsidRDefault="000F33B5" w:rsidP="000F33B5">
      <w:pPr>
        <w:pStyle w:val="corte4fondo"/>
        <w:tabs>
          <w:tab w:val="left" w:pos="567"/>
        </w:tabs>
        <w:spacing w:line="276" w:lineRule="auto"/>
        <w:ind w:firstLine="0"/>
        <w:rPr>
          <w:rFonts w:cs="Arial"/>
          <w:color w:val="2E74B5" w:themeColor="accent1" w:themeShade="BF"/>
          <w:sz w:val="10"/>
          <w:szCs w:val="10"/>
        </w:rPr>
      </w:pPr>
      <w:r w:rsidRPr="000F33B5">
        <w:rPr>
          <w:rFonts w:cs="Arial"/>
          <w:color w:val="2E74B5" w:themeColor="accent1" w:themeShade="BF"/>
          <w:sz w:val="10"/>
          <w:szCs w:val="10"/>
        </w:rPr>
        <w:t xml:space="preserve">*ESTAS FIRMAS PERTENECEN A LA RESOLUCIÓN DE LA REVISIÓN 518/2018-2 QUE FUE INTERPUESTO CONTRA EL </w:t>
      </w:r>
      <w:r w:rsidRPr="000F33B5">
        <w:rPr>
          <w:rFonts w:eastAsia="Arial Unicode MS" w:cs="Arial"/>
          <w:color w:val="2E74B5" w:themeColor="accent1" w:themeShade="BF"/>
          <w:sz w:val="10"/>
          <w:szCs w:val="10"/>
        </w:rPr>
        <w:t>ORGANISMO INTERMUNICIPAL METROPOLITANO DE AGUA POTABLE, ALCANTARILLADO, SANEAMIENTO Y SERVICIOS CONEXOS DE LOS MUNICIPIOS DE CERRO DE SAN PEDRO, SAN LUIS POTOSÍ Y SOLEDAD DE GRACIANO SÁNCHEZ (INTERAPAS)</w:t>
      </w:r>
      <w:r w:rsidRPr="000F33B5">
        <w:rPr>
          <w:rFonts w:cs="Arial"/>
          <w:color w:val="2E74B5" w:themeColor="accent1" w:themeShade="BF"/>
          <w:sz w:val="10"/>
          <w:szCs w:val="10"/>
        </w:rPr>
        <w:t xml:space="preserve"> Y QUE FUE APROBADA EN LA SESIÓN EXTRAORDINARIA DEL </w:t>
      </w:r>
      <w:r w:rsidR="00863A1C">
        <w:rPr>
          <w:rFonts w:cs="Arial"/>
          <w:color w:val="2E74B5" w:themeColor="accent1" w:themeShade="BF"/>
          <w:sz w:val="10"/>
          <w:szCs w:val="10"/>
        </w:rPr>
        <w:t xml:space="preserve">12 DOCE DE SEPTIEMBRE </w:t>
      </w:r>
      <w:r w:rsidRPr="000F33B5">
        <w:rPr>
          <w:rFonts w:cs="Arial"/>
          <w:color w:val="2E74B5" w:themeColor="accent1" w:themeShade="BF"/>
          <w:sz w:val="10"/>
          <w:szCs w:val="10"/>
        </w:rPr>
        <w:t>DE 2018 DOS MIL DIECIOCHO.</w:t>
      </w:r>
    </w:p>
    <w:p w:rsidR="00125316" w:rsidRPr="000F33B5" w:rsidRDefault="00125316" w:rsidP="000F33B5">
      <w:pPr>
        <w:pStyle w:val="corte4fondo"/>
        <w:tabs>
          <w:tab w:val="left" w:pos="567"/>
          <w:tab w:val="left" w:pos="3643"/>
        </w:tabs>
        <w:spacing w:line="276" w:lineRule="auto"/>
        <w:rPr>
          <w:rFonts w:cs="Arial"/>
          <w:i/>
          <w:color w:val="2E74B5" w:themeColor="accent1" w:themeShade="BF"/>
          <w:sz w:val="10"/>
          <w:szCs w:val="10"/>
        </w:rPr>
      </w:pPr>
    </w:p>
    <w:p w:rsidR="00125316" w:rsidRPr="000F33B5" w:rsidRDefault="00125316" w:rsidP="000F33B5">
      <w:pPr>
        <w:pStyle w:val="corte4fondo"/>
        <w:tabs>
          <w:tab w:val="left" w:pos="567"/>
        </w:tabs>
        <w:spacing w:line="276" w:lineRule="auto"/>
        <w:ind w:firstLine="0"/>
        <w:rPr>
          <w:rFonts w:cs="Arial"/>
          <w:i/>
          <w:color w:val="2E74B5" w:themeColor="accent1" w:themeShade="BF"/>
          <w:sz w:val="10"/>
          <w:szCs w:val="10"/>
        </w:rPr>
      </w:pPr>
      <w:bookmarkStart w:id="0" w:name="_GoBack"/>
      <w:bookmarkEnd w:id="0"/>
    </w:p>
    <w:p w:rsidR="004A5006" w:rsidRPr="000F33B5" w:rsidRDefault="004A5006" w:rsidP="000F33B5">
      <w:pPr>
        <w:pStyle w:val="corte4fondo"/>
        <w:tabs>
          <w:tab w:val="left" w:pos="567"/>
        </w:tabs>
        <w:spacing w:line="276" w:lineRule="auto"/>
        <w:ind w:firstLine="0"/>
        <w:rPr>
          <w:rFonts w:cs="Arial"/>
          <w:i/>
          <w:color w:val="2E74B5" w:themeColor="accent1" w:themeShade="BF"/>
          <w:sz w:val="10"/>
          <w:szCs w:val="10"/>
        </w:rPr>
      </w:pPr>
    </w:p>
    <w:p w:rsidR="00125316" w:rsidRPr="000F33B5" w:rsidRDefault="00125316" w:rsidP="000F33B5">
      <w:pPr>
        <w:pStyle w:val="corte4fondo"/>
        <w:tabs>
          <w:tab w:val="left" w:pos="567"/>
        </w:tabs>
        <w:spacing w:line="276" w:lineRule="auto"/>
        <w:ind w:firstLine="0"/>
        <w:rPr>
          <w:rFonts w:cs="Arial"/>
          <w:i/>
          <w:color w:val="2E74B5" w:themeColor="accent1" w:themeShade="BF"/>
          <w:sz w:val="10"/>
          <w:szCs w:val="10"/>
        </w:rPr>
      </w:pPr>
      <w:r w:rsidRPr="000F33B5">
        <w:rPr>
          <w:rFonts w:cs="Arial"/>
          <w:i/>
          <w:color w:val="2E74B5" w:themeColor="accent1" w:themeShade="BF"/>
          <w:sz w:val="10"/>
          <w:szCs w:val="10"/>
        </w:rPr>
        <w:t xml:space="preserve">L/MEMH </w:t>
      </w:r>
    </w:p>
    <w:p w:rsidR="00125316" w:rsidRPr="000F33B5" w:rsidRDefault="00125316" w:rsidP="000F33B5">
      <w:pPr>
        <w:spacing w:after="0" w:line="276" w:lineRule="auto"/>
        <w:rPr>
          <w:rFonts w:ascii="Arial" w:hAnsi="Arial" w:cs="Arial"/>
          <w:color w:val="2E74B5" w:themeColor="accent1" w:themeShade="BF"/>
        </w:rPr>
      </w:pPr>
    </w:p>
    <w:p w:rsidR="00AE57D9" w:rsidRPr="000F33B5" w:rsidRDefault="00AE57D9" w:rsidP="000F33B5">
      <w:pPr>
        <w:pStyle w:val="corte4fondo"/>
        <w:tabs>
          <w:tab w:val="left" w:pos="567"/>
        </w:tabs>
        <w:spacing w:line="276" w:lineRule="auto"/>
        <w:ind w:firstLine="0"/>
        <w:rPr>
          <w:rFonts w:cs="Arial"/>
          <w:color w:val="2E74B5" w:themeColor="accent1" w:themeShade="BF"/>
          <w:sz w:val="24"/>
          <w:szCs w:val="24"/>
        </w:rPr>
      </w:pPr>
    </w:p>
    <w:sectPr w:rsidR="00AE57D9" w:rsidRPr="000F33B5" w:rsidSect="00946046">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3BF" w:rsidRDefault="005053BF" w:rsidP="003C50D2">
      <w:pPr>
        <w:spacing w:after="0" w:line="240" w:lineRule="auto"/>
      </w:pPr>
      <w:r>
        <w:separator/>
      </w:r>
    </w:p>
  </w:endnote>
  <w:endnote w:type="continuationSeparator" w:id="0">
    <w:p w:rsidR="005053BF" w:rsidRDefault="005053BF" w:rsidP="003C5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3BF" w:rsidRDefault="005053BF" w:rsidP="003C50D2">
      <w:pPr>
        <w:spacing w:after="0" w:line="240" w:lineRule="auto"/>
      </w:pPr>
      <w:r>
        <w:separator/>
      </w:r>
    </w:p>
  </w:footnote>
  <w:footnote w:type="continuationSeparator" w:id="0">
    <w:p w:rsidR="005053BF" w:rsidRDefault="005053BF" w:rsidP="003C50D2">
      <w:pPr>
        <w:spacing w:after="0" w:line="240" w:lineRule="auto"/>
      </w:pPr>
      <w:r>
        <w:continuationSeparator/>
      </w:r>
    </w:p>
  </w:footnote>
  <w:footnote w:id="1">
    <w:p w:rsidR="003C50D2" w:rsidRPr="00DA1577" w:rsidRDefault="003C50D2" w:rsidP="003C50D2">
      <w:pPr>
        <w:pStyle w:val="Textonotapie"/>
        <w:jc w:val="both"/>
        <w:rPr>
          <w:rFonts w:ascii="Arial" w:hAnsi="Arial" w:cs="Arial"/>
          <w:sz w:val="16"/>
          <w:szCs w:val="16"/>
        </w:rPr>
      </w:pPr>
      <w:r w:rsidRPr="001E245B">
        <w:rPr>
          <w:rStyle w:val="Refdenotaalpie"/>
          <w:rFonts w:ascii="Arial" w:hAnsi="Arial" w:cs="Arial"/>
          <w:color w:val="2E74B5" w:themeColor="accent1" w:themeShade="BF"/>
          <w:sz w:val="16"/>
          <w:szCs w:val="16"/>
        </w:rPr>
        <w:footnoteRef/>
      </w:r>
      <w:r w:rsidRPr="001E245B">
        <w:rPr>
          <w:rFonts w:ascii="Arial" w:hAnsi="Arial" w:cs="Arial"/>
          <w:color w:val="2E74B5" w:themeColor="accent1" w:themeShade="BF"/>
          <w:sz w:val="16"/>
          <w:szCs w:val="16"/>
        </w:rPr>
        <w:t xml:space="preserve"> Visible en la foja 1 de autos. </w:t>
      </w:r>
    </w:p>
  </w:footnote>
  <w:footnote w:id="2">
    <w:p w:rsidR="00404D7A" w:rsidRDefault="00404D7A" w:rsidP="00404D7A">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977E93" w:rsidRPr="00CE62B2" w:rsidRDefault="00977E93" w:rsidP="00FA4546">
      <w:pPr>
        <w:pStyle w:val="Default"/>
        <w:jc w:val="both"/>
        <w:rPr>
          <w:color w:val="2E74B5" w:themeColor="accent1" w:themeShade="BF"/>
          <w:sz w:val="16"/>
          <w:szCs w:val="16"/>
        </w:rPr>
      </w:pPr>
      <w:r w:rsidRPr="00CE62B2">
        <w:rPr>
          <w:rStyle w:val="Refdenotaalpie"/>
          <w:color w:val="2E74B5" w:themeColor="accent1" w:themeShade="BF"/>
          <w:sz w:val="16"/>
          <w:szCs w:val="16"/>
        </w:rPr>
        <w:footnoteRef/>
      </w:r>
      <w:r w:rsidRPr="00CE62B2">
        <w:rPr>
          <w:color w:val="2E74B5" w:themeColor="accent1" w:themeShade="BF"/>
          <w:sz w:val="16"/>
          <w:szCs w:val="16"/>
        </w:rPr>
        <w:t xml:space="preserve"> </w:t>
      </w:r>
      <w:r w:rsidRPr="00CE62B2">
        <w:rPr>
          <w:b/>
          <w:bCs/>
          <w:color w:val="2E74B5" w:themeColor="accent1" w:themeShade="BF"/>
          <w:sz w:val="16"/>
          <w:szCs w:val="16"/>
        </w:rPr>
        <w:t xml:space="preserve">ARTÍCULO 148. </w:t>
      </w:r>
      <w:r w:rsidRPr="00CE62B2">
        <w:rPr>
          <w:color w:val="2E74B5" w:themeColor="accent1" w:themeShade="BF"/>
          <w:sz w:val="16"/>
          <w:szCs w:val="16"/>
        </w:rPr>
        <w:t>Los términos de todas las notificaciones previstas en esta Ley, empezarán a correr al día siguiente al que se practiquen. - Cuando los plazos fijados por esta Ley sean en días, éstos se entenderán como hábiles.</w:t>
      </w:r>
    </w:p>
    <w:p w:rsidR="00977E93" w:rsidRPr="00CE62B2" w:rsidRDefault="00977E93" w:rsidP="00FA4546">
      <w:pPr>
        <w:pStyle w:val="Textonotapie"/>
        <w:jc w:val="both"/>
        <w:rPr>
          <w:rFonts w:ascii="Arial" w:hAnsi="Arial" w:cs="Arial"/>
          <w:color w:val="2E74B5" w:themeColor="accent1" w:themeShade="BF"/>
          <w:sz w:val="16"/>
          <w:szCs w:val="16"/>
        </w:rPr>
      </w:pPr>
      <w:r w:rsidRPr="00CE62B2">
        <w:rPr>
          <w:rFonts w:ascii="Arial" w:hAnsi="Arial" w:cs="Arial"/>
          <w:b/>
          <w:bCs/>
          <w:color w:val="2E74B5" w:themeColor="accent1" w:themeShade="BF"/>
          <w:sz w:val="16"/>
          <w:szCs w:val="16"/>
        </w:rPr>
        <w:t xml:space="preserve">ARTÍCULO 154. </w:t>
      </w:r>
      <w:r w:rsidRPr="00CE62B2">
        <w:rPr>
          <w:rFonts w:ascii="Arial" w:hAnsi="Arial" w:cs="Arial"/>
          <w:color w:val="2E74B5" w:themeColor="accent1" w:themeShade="BF"/>
          <w:sz w:val="16"/>
          <w:szCs w:val="16"/>
        </w:rPr>
        <w:t>La respuesta a la solicitud deberá ser notificada al interesado en el menor tiempo posible, que no podrá exceder de diez días, contados a partir del día siguiente a la presentación de aquélla.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4">
    <w:p w:rsidR="00170B03" w:rsidRPr="00CE62B2" w:rsidRDefault="00170B03" w:rsidP="00170B03">
      <w:pPr>
        <w:pStyle w:val="Default"/>
        <w:spacing w:line="360" w:lineRule="auto"/>
        <w:jc w:val="both"/>
        <w:rPr>
          <w:color w:val="2E74B5" w:themeColor="accent1" w:themeShade="BF"/>
          <w:sz w:val="16"/>
          <w:szCs w:val="16"/>
        </w:rPr>
      </w:pPr>
      <w:r w:rsidRPr="00CE62B2">
        <w:rPr>
          <w:rStyle w:val="Refdenotaalpie"/>
          <w:color w:val="2E74B5" w:themeColor="accent1" w:themeShade="BF"/>
          <w:sz w:val="16"/>
          <w:szCs w:val="16"/>
        </w:rPr>
        <w:footnoteRef/>
      </w:r>
      <w:r w:rsidRPr="00CE62B2">
        <w:rPr>
          <w:color w:val="2E74B5" w:themeColor="accent1" w:themeShade="BF"/>
          <w:sz w:val="16"/>
          <w:szCs w:val="16"/>
        </w:rPr>
        <w:t xml:space="preserve"> </w:t>
      </w:r>
      <w:r w:rsidRPr="00CE62B2">
        <w:rPr>
          <w:b/>
          <w:bCs/>
          <w:color w:val="2E74B5" w:themeColor="accent1" w:themeShade="BF"/>
          <w:sz w:val="16"/>
          <w:szCs w:val="16"/>
        </w:rPr>
        <w:t xml:space="preserve">ARTÍCULO 170. </w:t>
      </w:r>
      <w:r w:rsidRPr="00CE62B2">
        <w:rPr>
          <w:color w:val="2E74B5" w:themeColor="accent1" w:themeShade="BF"/>
          <w:sz w:val="16"/>
          <w:szCs w:val="16"/>
        </w:rPr>
        <w:t xml:space="preserve">La CEGAIP resolverá el recurso de revisión en un plazo que no podrá exceder de treinta días, contados a partir de la admisión del mismo, en los términos que establezca la ley respectiva, plazo que podrá ampliarse por una sola vez y hasta por un periodo de veinte días. </w:t>
      </w:r>
    </w:p>
    <w:p w:rsidR="00170B03" w:rsidRPr="00B3217C" w:rsidRDefault="00170B03" w:rsidP="00170B03">
      <w:pPr>
        <w:pStyle w:val="Textonotapie"/>
        <w:spacing w:line="360" w:lineRule="auto"/>
        <w:jc w:val="both"/>
        <w:rPr>
          <w:rFonts w:ascii="Arial" w:hAnsi="Arial" w:cs="Arial"/>
          <w:sz w:val="16"/>
          <w:szCs w:val="16"/>
        </w:rPr>
      </w:pPr>
      <w:r w:rsidRPr="00CE62B2">
        <w:rPr>
          <w:rFonts w:ascii="Arial" w:hAnsi="Arial" w:cs="Arial"/>
          <w:color w:val="2E74B5" w:themeColor="accent1" w:themeShade="BF"/>
          <w:sz w:val="16"/>
          <w:szCs w:val="16"/>
        </w:rPr>
        <w:t>Durante el procedimiento deberá aplicarse la suplencia de la queja a favor del recurrente, sin cambiar los hechos expuestos, asegurándose de que las partes puedan presentar, de manera oral o escrita, los argumentos que funden y motiven sus pretensiones.</w:t>
      </w:r>
    </w:p>
  </w:footnote>
  <w:footnote w:id="5">
    <w:p w:rsidR="00170B03" w:rsidRPr="000F33B5" w:rsidRDefault="00170B03" w:rsidP="00170B03">
      <w:pPr>
        <w:pStyle w:val="corte4fondo"/>
        <w:ind w:firstLine="1"/>
        <w:rPr>
          <w:color w:val="2E74B5" w:themeColor="accent1" w:themeShade="BF"/>
          <w:sz w:val="16"/>
          <w:szCs w:val="16"/>
        </w:rPr>
      </w:pPr>
      <w:r w:rsidRPr="000F33B5">
        <w:rPr>
          <w:rStyle w:val="Refdenotaalpie"/>
          <w:color w:val="2E74B5" w:themeColor="accent1" w:themeShade="BF"/>
          <w:sz w:val="16"/>
          <w:szCs w:val="16"/>
        </w:rPr>
        <w:footnoteRef/>
      </w:r>
      <w:r w:rsidRPr="000F33B5">
        <w:rPr>
          <w:color w:val="2E74B5" w:themeColor="accent1" w:themeShade="BF"/>
          <w:sz w:val="16"/>
          <w:szCs w:val="16"/>
        </w:rPr>
        <w:t xml:space="preserve"> </w:t>
      </w:r>
      <w:r w:rsidRPr="000F33B5">
        <w:rPr>
          <w:b/>
          <w:bCs/>
          <w:color w:val="2E74B5" w:themeColor="accent1" w:themeShade="BF"/>
          <w:sz w:val="16"/>
          <w:szCs w:val="16"/>
        </w:rPr>
        <w:t xml:space="preserve">ARTÍCULO 22. </w:t>
      </w:r>
      <w:r w:rsidRPr="000F33B5">
        <w:rPr>
          <w:color w:val="2E74B5" w:themeColor="accent1" w:themeShade="BF"/>
          <w:sz w:val="16"/>
          <w:szCs w:val="16"/>
        </w:rPr>
        <w:t>En el procedimiento de acceso, entrega y publicación de la información se propiciarán las condiciones necesarias para que ésta sea accesible a cualquier persona.</w:t>
      </w:r>
    </w:p>
    <w:p w:rsidR="00170B03" w:rsidRPr="000F33B5" w:rsidRDefault="00170B03" w:rsidP="00170B03">
      <w:pPr>
        <w:pStyle w:val="corte4fondo"/>
        <w:ind w:firstLine="1"/>
        <w:rPr>
          <w:color w:val="2E74B5" w:themeColor="accent1" w:themeShade="BF"/>
          <w:sz w:val="16"/>
          <w:szCs w:val="16"/>
        </w:rPr>
      </w:pPr>
      <w:r w:rsidRPr="000F33B5">
        <w:rPr>
          <w:b/>
          <w:bCs/>
          <w:color w:val="2E74B5" w:themeColor="accent1" w:themeShade="BF"/>
          <w:sz w:val="16"/>
          <w:szCs w:val="16"/>
        </w:rPr>
        <w:t xml:space="preserve">ARTÍCULO 62. </w:t>
      </w:r>
      <w:r w:rsidRPr="000F33B5">
        <w:rPr>
          <w:color w:val="2E74B5" w:themeColor="accent1" w:themeShade="BF"/>
          <w:sz w:val="16"/>
          <w:szCs w:val="16"/>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170B03" w:rsidRPr="000F33B5" w:rsidRDefault="00170B03" w:rsidP="00170B03">
      <w:pPr>
        <w:pStyle w:val="corte4fondo"/>
        <w:ind w:firstLine="1"/>
        <w:rPr>
          <w:color w:val="2E74B5" w:themeColor="accent1" w:themeShade="BF"/>
          <w:sz w:val="16"/>
          <w:szCs w:val="16"/>
        </w:rPr>
      </w:pPr>
      <w:r w:rsidRPr="000F33B5">
        <w:rPr>
          <w:color w:val="2E74B5" w:themeColor="accent1" w:themeShade="BF"/>
          <w:sz w:val="16"/>
          <w:szCs w:val="16"/>
        </w:rPr>
        <w:t>Los sujetos obligados que por su naturaleza jurídica no cuenten con Ley de Ingresos, deberá remitirse a la Ley de Ingresos del Estado o Municipios, según corresponda.</w:t>
      </w:r>
    </w:p>
    <w:p w:rsidR="00170B03" w:rsidRPr="0001212F" w:rsidRDefault="00170B03" w:rsidP="00170B03">
      <w:pPr>
        <w:pStyle w:val="corte4fondo"/>
        <w:ind w:firstLine="1"/>
        <w:rPr>
          <w:sz w:val="16"/>
          <w:szCs w:val="16"/>
        </w:rPr>
      </w:pPr>
      <w:r w:rsidRPr="000F33B5">
        <w:rPr>
          <w:b/>
          <w:bCs/>
          <w:color w:val="2E74B5" w:themeColor="accent1" w:themeShade="BF"/>
          <w:sz w:val="16"/>
          <w:szCs w:val="16"/>
        </w:rPr>
        <w:t xml:space="preserve">ARTÍCULO 165. </w:t>
      </w:r>
      <w:r w:rsidRPr="000F33B5">
        <w:rPr>
          <w:color w:val="2E74B5" w:themeColor="accent1" w:themeShade="BF"/>
          <w:sz w:val="16"/>
          <w:szCs w:val="16"/>
        </w:rPr>
        <w:t xml:space="preserve">En caso de existir costos para obtener la información, deberán cubrirse de manera previa a la entrega y no podrán ser superiores a la suma de: </w:t>
      </w:r>
      <w:r w:rsidRPr="000F33B5">
        <w:rPr>
          <w:bCs/>
          <w:color w:val="2E74B5" w:themeColor="accent1" w:themeShade="BF"/>
          <w:sz w:val="16"/>
          <w:szCs w:val="16"/>
        </w:rPr>
        <w:t>[…]</w:t>
      </w:r>
      <w:r w:rsidRPr="000F33B5">
        <w:rPr>
          <w:color w:val="2E74B5" w:themeColor="accent1" w:themeShade="BF"/>
          <w:sz w:val="16"/>
          <w:szCs w:val="16"/>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 w:id="6">
    <w:p w:rsidR="00591E25" w:rsidRPr="007D2E32" w:rsidRDefault="00591E25" w:rsidP="00591E25">
      <w:pPr>
        <w:pStyle w:val="Textonotapie"/>
        <w:spacing w:line="360" w:lineRule="auto"/>
        <w:jc w:val="both"/>
        <w:rPr>
          <w:rFonts w:ascii="Arial" w:hAnsi="Arial" w:cs="Arial"/>
          <w:sz w:val="16"/>
          <w:szCs w:val="16"/>
        </w:rPr>
      </w:pPr>
      <w:r w:rsidRPr="00395ED1">
        <w:rPr>
          <w:rStyle w:val="Refdenotaalpie"/>
          <w:rFonts w:ascii="Arial" w:hAnsi="Arial" w:cs="Arial"/>
          <w:color w:val="2E74B5" w:themeColor="accent1" w:themeShade="BF"/>
          <w:sz w:val="16"/>
          <w:szCs w:val="16"/>
        </w:rPr>
        <w:footnoteRef/>
      </w:r>
      <w:r w:rsidRPr="00395ED1">
        <w:rPr>
          <w:rFonts w:ascii="Arial" w:hAnsi="Arial" w:cs="Arial"/>
          <w:color w:val="2E74B5" w:themeColor="accent1" w:themeShade="BF"/>
          <w:sz w:val="16"/>
          <w:szCs w:val="16"/>
        </w:rPr>
        <w:t xml:space="preserve"> </w:t>
      </w:r>
      <w:r w:rsidRPr="00395ED1">
        <w:rPr>
          <w:rFonts w:ascii="Arial" w:hAnsi="Arial" w:cs="Arial"/>
          <w:b/>
          <w:bCs/>
          <w:color w:val="2E74B5" w:themeColor="accent1" w:themeShade="BF"/>
          <w:sz w:val="16"/>
          <w:szCs w:val="16"/>
        </w:rPr>
        <w:t xml:space="preserve">ARTICULO 7. </w:t>
      </w:r>
      <w:r w:rsidRPr="00395ED1">
        <w:rPr>
          <w:rFonts w:ascii="Arial" w:hAnsi="Arial" w:cs="Arial"/>
          <w:color w:val="2E74B5" w:themeColor="accent1" w:themeShade="BF"/>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395ED1">
        <w:rPr>
          <w:rFonts w:ascii="Arial" w:hAnsi="Arial" w:cs="Arial"/>
          <w:color w:val="2E74B5" w:themeColor="accent1" w:themeShade="BF"/>
          <w:sz w:val="16"/>
          <w:szCs w:val="16"/>
        </w:rPr>
        <w:t>pro</w:t>
      </w:r>
      <w:proofErr w:type="spellEnd"/>
      <w:r w:rsidRPr="00395ED1">
        <w:rPr>
          <w:rFonts w:ascii="Arial" w:hAnsi="Arial" w:cs="Arial"/>
          <w:color w:val="2E74B5" w:themeColor="accent1" w:themeShade="BF"/>
          <w:sz w:val="16"/>
          <w:szCs w:val="16"/>
        </w:rPr>
        <w:t xml:space="preserve">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9B6395" w:rsidRDefault="00236B4D"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9B6395">
      <w:rPr>
        <w:rFonts w:ascii="Arial" w:hAnsi="Arial" w:cs="Arial"/>
        <w:color w:val="2E74B5" w:themeColor="accent1" w:themeShade="BF"/>
      </w:rPr>
      <w:fldChar w:fldCharType="begin"/>
    </w:r>
    <w:r w:rsidRPr="009B6395">
      <w:rPr>
        <w:rFonts w:ascii="Arial" w:hAnsi="Arial" w:cs="Arial"/>
        <w:color w:val="2E74B5" w:themeColor="accent1" w:themeShade="BF"/>
      </w:rPr>
      <w:instrText xml:space="preserve"> PAGE   \* MERGEFORMAT </w:instrText>
    </w:r>
    <w:r w:rsidRPr="009B6395">
      <w:rPr>
        <w:rFonts w:ascii="Arial" w:hAnsi="Arial" w:cs="Arial"/>
        <w:color w:val="2E74B5" w:themeColor="accent1" w:themeShade="BF"/>
      </w:rPr>
      <w:fldChar w:fldCharType="separate"/>
    </w:r>
    <w:r w:rsidR="00863A1C">
      <w:rPr>
        <w:rFonts w:ascii="Arial" w:hAnsi="Arial" w:cs="Arial"/>
        <w:noProof/>
        <w:color w:val="2E74B5" w:themeColor="accent1" w:themeShade="BF"/>
      </w:rPr>
      <w:t>12</w:t>
    </w:r>
    <w:r w:rsidRPr="009B6395">
      <w:rPr>
        <w:rFonts w:ascii="Arial" w:hAnsi="Arial" w:cs="Arial"/>
        <w:color w:val="2E74B5" w:themeColor="accent1" w:themeShade="BF"/>
      </w:rPr>
      <w:fldChar w:fldCharType="end"/>
    </w:r>
    <w:r w:rsidRPr="009B6395">
      <w:rPr>
        <w:rFonts w:ascii="Arial" w:hAnsi="Arial" w:cs="Arial"/>
        <w:color w:val="2E74B5" w:themeColor="accent1" w:themeShade="BF"/>
      </w:rPr>
      <w:t xml:space="preserve">                                          </w:t>
    </w:r>
    <w:r w:rsidRPr="009B6395">
      <w:rPr>
        <w:rFonts w:ascii="Arial" w:hAnsi="Arial" w:cs="Arial"/>
        <w:color w:val="2E74B5" w:themeColor="accent1" w:themeShade="BF"/>
        <w:sz w:val="16"/>
        <w:szCs w:val="16"/>
      </w:rPr>
      <w:t xml:space="preserve">RECURSO DE REVISIÓN  </w:t>
    </w:r>
    <w:r w:rsidR="007A14E0">
      <w:rPr>
        <w:rFonts w:ascii="Arial" w:hAnsi="Arial" w:cs="Arial"/>
        <w:color w:val="2E74B5" w:themeColor="accent1" w:themeShade="BF"/>
        <w:sz w:val="16"/>
        <w:szCs w:val="16"/>
      </w:rPr>
      <w:t>518</w:t>
    </w:r>
    <w:r w:rsidRPr="009B6395">
      <w:rPr>
        <w:rFonts w:ascii="Arial" w:hAnsi="Arial" w:cs="Arial"/>
        <w:color w:val="2E74B5" w:themeColor="accent1" w:themeShade="BF"/>
        <w:sz w:val="16"/>
        <w:szCs w:val="16"/>
      </w:rPr>
      <w:t>/2018</w:t>
    </w:r>
    <w:r w:rsidR="00E07BCC" w:rsidRPr="009B6395">
      <w:rPr>
        <w:rFonts w:ascii="Arial" w:hAnsi="Arial" w:cs="Arial"/>
        <w:color w:val="2E74B5" w:themeColor="accent1" w:themeShade="BF"/>
        <w:sz w:val="16"/>
        <w:szCs w:val="16"/>
      </w:rPr>
      <w:t>-2</w:t>
    </w:r>
  </w:p>
  <w:p w:rsidR="00020E02" w:rsidRDefault="00236B4D">
    <w:pPr>
      <w:pStyle w:val="Encabezado"/>
    </w:pPr>
    <w:r>
      <w:t xml:space="preserve">       </w:t>
    </w:r>
  </w:p>
  <w:p w:rsidR="00020E02" w:rsidRDefault="005053B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8210CE5"/>
    <w:multiLevelType w:val="hybridMultilevel"/>
    <w:tmpl w:val="CF00DC4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5B076234"/>
    <w:multiLevelType w:val="hybridMultilevel"/>
    <w:tmpl w:val="677464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8"/>
  </w:num>
  <w:num w:numId="4">
    <w:abstractNumId w:val="1"/>
  </w:num>
  <w:num w:numId="5">
    <w:abstractNumId w:val="6"/>
  </w:num>
  <w:num w:numId="6">
    <w:abstractNumId w:val="2"/>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0D2"/>
    <w:rsid w:val="000146DD"/>
    <w:rsid w:val="000602D9"/>
    <w:rsid w:val="0007316C"/>
    <w:rsid w:val="00077043"/>
    <w:rsid w:val="00083107"/>
    <w:rsid w:val="000F33B5"/>
    <w:rsid w:val="00125316"/>
    <w:rsid w:val="00170B03"/>
    <w:rsid w:val="00196EF1"/>
    <w:rsid w:val="001B18A9"/>
    <w:rsid w:val="001E245B"/>
    <w:rsid w:val="001F5663"/>
    <w:rsid w:val="00202D85"/>
    <w:rsid w:val="00236B4D"/>
    <w:rsid w:val="0027274F"/>
    <w:rsid w:val="002D6397"/>
    <w:rsid w:val="00360C29"/>
    <w:rsid w:val="00367587"/>
    <w:rsid w:val="003B02A4"/>
    <w:rsid w:val="003C50D2"/>
    <w:rsid w:val="003D2E69"/>
    <w:rsid w:val="00404D7A"/>
    <w:rsid w:val="00412C4B"/>
    <w:rsid w:val="00414FDC"/>
    <w:rsid w:val="00465EC0"/>
    <w:rsid w:val="004861E2"/>
    <w:rsid w:val="004A0503"/>
    <w:rsid w:val="004A5006"/>
    <w:rsid w:val="004C71DC"/>
    <w:rsid w:val="00501539"/>
    <w:rsid w:val="005053BF"/>
    <w:rsid w:val="00510343"/>
    <w:rsid w:val="00525015"/>
    <w:rsid w:val="005310A0"/>
    <w:rsid w:val="00564B02"/>
    <w:rsid w:val="00585A8E"/>
    <w:rsid w:val="00591E25"/>
    <w:rsid w:val="00616A6E"/>
    <w:rsid w:val="00666165"/>
    <w:rsid w:val="006E7C73"/>
    <w:rsid w:val="007A14E0"/>
    <w:rsid w:val="007B100C"/>
    <w:rsid w:val="007F658D"/>
    <w:rsid w:val="00834F4F"/>
    <w:rsid w:val="00863A1C"/>
    <w:rsid w:val="008764A6"/>
    <w:rsid w:val="008E65CD"/>
    <w:rsid w:val="00946046"/>
    <w:rsid w:val="00977E93"/>
    <w:rsid w:val="00995B21"/>
    <w:rsid w:val="009B6395"/>
    <w:rsid w:val="00A37EC9"/>
    <w:rsid w:val="00A55867"/>
    <w:rsid w:val="00A9320F"/>
    <w:rsid w:val="00AA0DEC"/>
    <w:rsid w:val="00AE57D9"/>
    <w:rsid w:val="00B27264"/>
    <w:rsid w:val="00B313B8"/>
    <w:rsid w:val="00BC1F9E"/>
    <w:rsid w:val="00BF5773"/>
    <w:rsid w:val="00C15449"/>
    <w:rsid w:val="00C64896"/>
    <w:rsid w:val="00CE62B2"/>
    <w:rsid w:val="00D12FBB"/>
    <w:rsid w:val="00D1554A"/>
    <w:rsid w:val="00D450D0"/>
    <w:rsid w:val="00D80EF4"/>
    <w:rsid w:val="00DC3EDA"/>
    <w:rsid w:val="00E07BCC"/>
    <w:rsid w:val="00FA0ABD"/>
    <w:rsid w:val="00FA4546"/>
    <w:rsid w:val="00FC79A5"/>
    <w:rsid w:val="00FE15E9"/>
    <w:rsid w:val="00FE77B1"/>
    <w:rsid w:val="00FF0331"/>
    <w:rsid w:val="00FF7A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585A"/>
  <w15:chartTrackingRefBased/>
  <w15:docId w15:val="{563335FD-EB15-44D6-8548-4AE5679C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0D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3C50D2"/>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C50D2"/>
    <w:rPr>
      <w:rFonts w:ascii="Calibri" w:eastAsia="Calibri" w:hAnsi="Calibri" w:cs="Times New Roman"/>
      <w:sz w:val="20"/>
      <w:szCs w:val="20"/>
    </w:rPr>
  </w:style>
  <w:style w:type="paragraph" w:styleId="Encabezado">
    <w:name w:val="header"/>
    <w:basedOn w:val="Normal"/>
    <w:link w:val="EncabezadoCar"/>
    <w:unhideWhenUsed/>
    <w:rsid w:val="003C50D2"/>
    <w:pPr>
      <w:tabs>
        <w:tab w:val="center" w:pos="4419"/>
        <w:tab w:val="right" w:pos="8838"/>
      </w:tabs>
      <w:spacing w:after="0" w:line="240" w:lineRule="auto"/>
    </w:pPr>
  </w:style>
  <w:style w:type="character" w:customStyle="1" w:styleId="EncabezadoCar">
    <w:name w:val="Encabezado Car"/>
    <w:basedOn w:val="Fuentedeprrafopredeter"/>
    <w:link w:val="Encabezado"/>
    <w:rsid w:val="003C50D2"/>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3C50D2"/>
    <w:rPr>
      <w:vertAlign w:val="superscript"/>
    </w:rPr>
  </w:style>
  <w:style w:type="paragraph" w:customStyle="1" w:styleId="corte4fondo">
    <w:name w:val="corte4 fondo"/>
    <w:basedOn w:val="Normal"/>
    <w:link w:val="corte4fondoCar1"/>
    <w:qFormat/>
    <w:rsid w:val="003C50D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3C50D2"/>
    <w:rPr>
      <w:rFonts w:ascii="Arial" w:eastAsia="Times New Roman" w:hAnsi="Arial" w:cs="Times New Roman"/>
      <w:sz w:val="30"/>
      <w:szCs w:val="20"/>
      <w:lang w:eastAsia="es-MX"/>
    </w:rPr>
  </w:style>
  <w:style w:type="paragraph" w:styleId="Prrafodelista">
    <w:name w:val="List Paragraph"/>
    <w:basedOn w:val="Normal"/>
    <w:uiPriority w:val="34"/>
    <w:qFormat/>
    <w:rsid w:val="003C50D2"/>
    <w:pPr>
      <w:spacing w:after="200" w:line="276" w:lineRule="auto"/>
      <w:ind w:left="708"/>
    </w:pPr>
  </w:style>
  <w:style w:type="paragraph" w:styleId="NormalWeb">
    <w:name w:val="Normal (Web)"/>
    <w:basedOn w:val="Normal"/>
    <w:uiPriority w:val="99"/>
    <w:rsid w:val="003C50D2"/>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3C50D2"/>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3C50D2"/>
    <w:rPr>
      <w:rFonts w:ascii="Arial" w:eastAsia="Times New Roman" w:hAnsi="Arial" w:cs="Times New Roman"/>
      <w:b/>
      <w:caps/>
      <w:sz w:val="30"/>
      <w:szCs w:val="20"/>
      <w:lang w:val="x-none" w:eastAsia="es-MX"/>
    </w:rPr>
  </w:style>
  <w:style w:type="paragraph" w:customStyle="1" w:styleId="xmsonormal">
    <w:name w:val="x_msonormal"/>
    <w:basedOn w:val="Normal"/>
    <w:rsid w:val="003C50D2"/>
    <w:pPr>
      <w:spacing w:before="100" w:beforeAutospacing="1" w:after="100" w:afterAutospacing="1" w:line="240" w:lineRule="auto"/>
    </w:pPr>
    <w:rPr>
      <w:rFonts w:ascii="Times New Roman" w:eastAsia="Times New Roman" w:hAnsi="Times New Roman"/>
      <w:sz w:val="24"/>
      <w:szCs w:val="24"/>
      <w:lang w:eastAsia="es-MX"/>
    </w:rPr>
  </w:style>
  <w:style w:type="paragraph" w:styleId="Piedepgina">
    <w:name w:val="footer"/>
    <w:basedOn w:val="Normal"/>
    <w:link w:val="PiedepginaCar"/>
    <w:uiPriority w:val="99"/>
    <w:unhideWhenUsed/>
    <w:rsid w:val="003C50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50D2"/>
    <w:rPr>
      <w:rFonts w:ascii="Calibri" w:eastAsia="Calibri" w:hAnsi="Calibri" w:cs="Times New Roman"/>
    </w:rPr>
  </w:style>
  <w:style w:type="paragraph" w:customStyle="1" w:styleId="Default">
    <w:name w:val="Default"/>
    <w:rsid w:val="00AE57D9"/>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9B63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6395"/>
    <w:rPr>
      <w:rFonts w:ascii="Segoe UI" w:eastAsia="Calibri" w:hAnsi="Segoe UI" w:cs="Segoe UI"/>
      <w:sz w:val="18"/>
      <w:szCs w:val="18"/>
    </w:rPr>
  </w:style>
  <w:style w:type="character" w:styleId="Hipervnculo">
    <w:name w:val="Hyperlink"/>
    <w:basedOn w:val="Fuentedeprrafopredeter"/>
    <w:uiPriority w:val="99"/>
    <w:unhideWhenUsed/>
    <w:rsid w:val="001B18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12</Pages>
  <Words>4074</Words>
  <Characters>22409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15</cp:revision>
  <cp:lastPrinted>2018-08-16T16:57:00Z</cp:lastPrinted>
  <dcterms:created xsi:type="dcterms:W3CDTF">2018-09-11T13:39:00Z</dcterms:created>
  <dcterms:modified xsi:type="dcterms:W3CDTF">2018-09-21T19:01:00Z</dcterms:modified>
</cp:coreProperties>
</file>